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5F35" w14:textId="336FF78A" w:rsidR="00F92815" w:rsidRDefault="00F92815" w:rsidP="00F92815">
      <w:pPr>
        <w:pStyle w:val="Nagwek"/>
        <w:spacing w:after="720"/>
        <w:jc w:val="right"/>
        <w:rPr>
          <w:rFonts w:cstheme="minorHAnsi"/>
          <w:szCs w:val="24"/>
        </w:rPr>
      </w:pPr>
      <w:r w:rsidRPr="00FB2A54">
        <w:rPr>
          <w:rFonts w:cstheme="minorHAnsi"/>
          <w:szCs w:val="24"/>
        </w:rPr>
        <w:t>Załącznik 1 do Umowy WI1.374.</w:t>
      </w:r>
      <w:r w:rsidR="00FB2A54" w:rsidRPr="00FB2A54">
        <w:rPr>
          <w:rFonts w:cstheme="minorHAnsi"/>
          <w:szCs w:val="24"/>
        </w:rPr>
        <w:t>4</w:t>
      </w:r>
      <w:r w:rsidR="00F82C58">
        <w:rPr>
          <w:rFonts w:cstheme="minorHAnsi"/>
          <w:szCs w:val="24"/>
        </w:rPr>
        <w:t>6</w:t>
      </w:r>
      <w:r w:rsidRPr="00FB2A54">
        <w:rPr>
          <w:rFonts w:cstheme="minorHAnsi"/>
          <w:szCs w:val="24"/>
        </w:rPr>
        <w:t>.202</w:t>
      </w:r>
      <w:r w:rsidR="00F82C58">
        <w:rPr>
          <w:rFonts w:cstheme="minorHAnsi"/>
          <w:szCs w:val="24"/>
        </w:rPr>
        <w:t>5</w:t>
      </w:r>
      <w:r w:rsidRPr="00FB2A54">
        <w:rPr>
          <w:rFonts w:cstheme="minorHAnsi"/>
          <w:szCs w:val="24"/>
        </w:rPr>
        <w:t>.MC</w:t>
      </w:r>
    </w:p>
    <w:p w14:paraId="405064AF" w14:textId="79A79FEB" w:rsidR="007D311E" w:rsidRDefault="008E2BA1" w:rsidP="00F92815">
      <w:pPr>
        <w:pStyle w:val="Nagwek1"/>
      </w:pPr>
      <w:r w:rsidRPr="00A375A2">
        <w:t xml:space="preserve">Opis przedmiotu Zamówienia - </w:t>
      </w:r>
      <w:r w:rsidR="00A375A2" w:rsidRPr="00A375A2">
        <w:t xml:space="preserve">Świadczenie usług dostępu do Internetu na łączu </w:t>
      </w:r>
      <w:r w:rsidR="00F92815">
        <w:t>symetrycznym</w:t>
      </w:r>
    </w:p>
    <w:p w14:paraId="3CE3AE26" w14:textId="24C379B6" w:rsidR="00477123" w:rsidRDefault="008E2BA1" w:rsidP="00477123">
      <w:pPr>
        <w:rPr>
          <w:rFonts w:cstheme="minorHAnsi"/>
          <w:szCs w:val="24"/>
        </w:rPr>
      </w:pPr>
      <w:r w:rsidRPr="00A375A2">
        <w:t>Przedmiotem zamówienia jest</w:t>
      </w:r>
      <w:r w:rsidR="00477123">
        <w:t xml:space="preserve"> </w:t>
      </w:r>
      <w:bookmarkStart w:id="0" w:name="_Hlk108776638"/>
      <w:r w:rsidR="00477123">
        <w:t>ś</w:t>
      </w:r>
      <w:r w:rsidR="00477123" w:rsidRPr="00477123">
        <w:rPr>
          <w:rFonts w:cstheme="minorHAnsi"/>
          <w:szCs w:val="24"/>
        </w:rPr>
        <w:t>wiadczenie przez Wykonawcę usług telekomunikacyjnych zapewnienia dostępu do Internetu</w:t>
      </w:r>
      <w:bookmarkEnd w:id="0"/>
      <w:r w:rsidR="00477123" w:rsidRPr="00477123">
        <w:rPr>
          <w:rFonts w:cstheme="minorHAnsi"/>
          <w:szCs w:val="24"/>
        </w:rPr>
        <w:t xml:space="preserve"> wraz z usług</w:t>
      </w:r>
      <w:r w:rsidR="00477123">
        <w:rPr>
          <w:rFonts w:cstheme="minorHAnsi"/>
          <w:szCs w:val="24"/>
        </w:rPr>
        <w:t xml:space="preserve">ami ochrony przed atakami </w:t>
      </w:r>
      <w:proofErr w:type="spellStart"/>
      <w:r w:rsidR="00477123" w:rsidRPr="00477123">
        <w:rPr>
          <w:rFonts w:cstheme="minorHAnsi"/>
          <w:szCs w:val="24"/>
        </w:rPr>
        <w:t>DDoS</w:t>
      </w:r>
      <w:proofErr w:type="spellEnd"/>
      <w:r w:rsidR="00477123">
        <w:rPr>
          <w:rFonts w:cstheme="minorHAnsi"/>
          <w:szCs w:val="24"/>
        </w:rPr>
        <w:t>.</w:t>
      </w:r>
    </w:p>
    <w:p w14:paraId="722F47AE" w14:textId="1A2CFB2A" w:rsidR="00833E94" w:rsidRDefault="00833E94" w:rsidP="00833E94">
      <w:pPr>
        <w:pStyle w:val="Nagwek2"/>
      </w:pPr>
      <w:r>
        <w:t>Informacje Ogólne</w:t>
      </w:r>
    </w:p>
    <w:p w14:paraId="7F99653F" w14:textId="46D06F11" w:rsidR="00833E94" w:rsidRDefault="00833E94" w:rsidP="00833E94">
      <w:pPr>
        <w:pStyle w:val="Akapitzlist"/>
        <w:numPr>
          <w:ilvl w:val="0"/>
          <w:numId w:val="7"/>
        </w:numPr>
      </w:pPr>
      <w:r>
        <w:t>Obecna umowa na świadczenie dostępu do sieci Internet na łączu symetrycznym</w:t>
      </w:r>
      <w:r w:rsidR="00F33A8E">
        <w:t xml:space="preserve"> wraz z usługami ochrony przed atakami </w:t>
      </w:r>
      <w:proofErr w:type="spellStart"/>
      <w:r w:rsidR="00F33A8E">
        <w:t>DDoS</w:t>
      </w:r>
      <w:proofErr w:type="spellEnd"/>
      <w:r>
        <w:t xml:space="preserve"> jest zawarta na czas określony do 30.09.202</w:t>
      </w:r>
      <w:r w:rsidR="00F82C58">
        <w:t>5</w:t>
      </w:r>
      <w:r>
        <w:t xml:space="preserve">r. </w:t>
      </w:r>
    </w:p>
    <w:p w14:paraId="3ACE0F22" w14:textId="21773714" w:rsidR="00833E94" w:rsidRDefault="00833E94" w:rsidP="00833E94">
      <w:pPr>
        <w:pStyle w:val="Akapitzlist"/>
        <w:numPr>
          <w:ilvl w:val="0"/>
          <w:numId w:val="7"/>
        </w:numPr>
      </w:pPr>
      <w:r>
        <w:t>Termin realizacji zamówienia – 01.10.202</w:t>
      </w:r>
      <w:r w:rsidR="00F82C58">
        <w:t>5</w:t>
      </w:r>
      <w:r>
        <w:t xml:space="preserve"> – 30.09.202</w:t>
      </w:r>
      <w:r w:rsidR="00F82C58">
        <w:t>7</w:t>
      </w:r>
      <w:r>
        <w:t>.</w:t>
      </w:r>
    </w:p>
    <w:p w14:paraId="0E275EE6" w14:textId="77777777" w:rsidR="00833E94" w:rsidRDefault="00833E94" w:rsidP="00833E94">
      <w:pPr>
        <w:pStyle w:val="Akapitzlist"/>
        <w:numPr>
          <w:ilvl w:val="0"/>
          <w:numId w:val="7"/>
        </w:numPr>
      </w:pPr>
      <w:r>
        <w:t>Zamawiający nie ponosi odpowiedzialności za szkody wyrządzone przez Wykonawcę podczas wykonywania przedmiotu Zamówienia.</w:t>
      </w:r>
    </w:p>
    <w:p w14:paraId="17706557" w14:textId="77777777" w:rsidR="00833E94" w:rsidRPr="00833E94" w:rsidRDefault="00833E94" w:rsidP="00833E94">
      <w:pPr>
        <w:pStyle w:val="Akapitzlist"/>
        <w:numPr>
          <w:ilvl w:val="0"/>
          <w:numId w:val="7"/>
        </w:numPr>
        <w:rPr>
          <w:rFonts w:cstheme="minorHAnsi"/>
          <w:szCs w:val="24"/>
        </w:rPr>
      </w:pPr>
      <w:r>
        <w:t>Wykonawca odpowiada ze ewentualne uzyskanie wszystkich niezbędnych pozwoleń niezbędnych do realizacji przedmiotu zamówienia.</w:t>
      </w:r>
    </w:p>
    <w:p w14:paraId="61255892" w14:textId="46F7268E" w:rsidR="00477123" w:rsidRPr="00A375A2" w:rsidRDefault="00477123" w:rsidP="00477123">
      <w:pPr>
        <w:pStyle w:val="Nagwek2"/>
      </w:pPr>
      <w:r>
        <w:t>Usługa telekomunikacyjna zapewnienia dostępu do sieci Internet.</w:t>
      </w:r>
    </w:p>
    <w:p w14:paraId="6F53DBCF" w14:textId="77777777" w:rsidR="00FC372D" w:rsidRDefault="008E2BA1" w:rsidP="00FC372D">
      <w:pPr>
        <w:pStyle w:val="Akapitzlist"/>
        <w:numPr>
          <w:ilvl w:val="0"/>
          <w:numId w:val="5"/>
        </w:numPr>
      </w:pPr>
      <w:r w:rsidRPr="00A375A2">
        <w:t xml:space="preserve">Zestawianie, uruchomienie i utrzymywanie przez cały okres trwania umowy, symetrycznego łącza dostępowego o przepustowości gwarantowanej wynoszącej </w:t>
      </w:r>
      <w:r w:rsidR="00FC372D">
        <w:t>6</w:t>
      </w:r>
      <w:r w:rsidR="009E52AD" w:rsidRPr="00A375A2">
        <w:t>0</w:t>
      </w:r>
      <w:r w:rsidRPr="00A375A2">
        <w:t>0Mbps</w:t>
      </w:r>
      <w:r w:rsidR="00500F76">
        <w:t>.</w:t>
      </w:r>
    </w:p>
    <w:p w14:paraId="3299CBAF" w14:textId="77777777" w:rsidR="00FC372D" w:rsidRDefault="00500F76" w:rsidP="00FC372D">
      <w:pPr>
        <w:pStyle w:val="Akapitzlist"/>
        <w:numPr>
          <w:ilvl w:val="1"/>
          <w:numId w:val="5"/>
        </w:numPr>
        <w:ind w:left="1134" w:hanging="774"/>
      </w:pPr>
      <w:r w:rsidRPr="00500F76">
        <w:t xml:space="preserve">Gwarantowana prędkość połączenia pomiędzy Wykonawcą, a Zamawiającym wynosi </w:t>
      </w:r>
      <w:r w:rsidR="00FC372D">
        <w:t>6</w:t>
      </w:r>
      <w:r>
        <w:t>00</w:t>
      </w:r>
      <w:r w:rsidRPr="00500F76">
        <w:t>Mbps (słownie</w:t>
      </w:r>
      <w:r>
        <w:t>:</w:t>
      </w:r>
      <w:r w:rsidRPr="00500F76">
        <w:t xml:space="preserve"> </w:t>
      </w:r>
      <w:r w:rsidR="00FC372D">
        <w:t>sześćset</w:t>
      </w:r>
      <w:r w:rsidRPr="00500F76">
        <w:t xml:space="preserve"> megabitów na sekundę)</w:t>
      </w:r>
      <w:r>
        <w:t>.</w:t>
      </w:r>
    </w:p>
    <w:p w14:paraId="06B76387" w14:textId="77777777" w:rsidR="00FC372D" w:rsidRDefault="00500F76" w:rsidP="00FC372D">
      <w:pPr>
        <w:pStyle w:val="Akapitzlist"/>
        <w:numPr>
          <w:ilvl w:val="1"/>
          <w:numId w:val="5"/>
        </w:numPr>
        <w:ind w:left="1134" w:hanging="774"/>
      </w:pPr>
      <w:r w:rsidRPr="00500F76">
        <w:t xml:space="preserve">Gwarantowana prędkość połączenia pomiędzy Zamawiającym, a Wykonawcą wynosi </w:t>
      </w:r>
      <w:r w:rsidR="00FC372D">
        <w:t>6</w:t>
      </w:r>
      <w:r>
        <w:t>00</w:t>
      </w:r>
      <w:r w:rsidRPr="00500F76">
        <w:t>Mbps (słownie</w:t>
      </w:r>
      <w:r>
        <w:t>:</w:t>
      </w:r>
      <w:r w:rsidRPr="00500F76">
        <w:t xml:space="preserve"> </w:t>
      </w:r>
      <w:r w:rsidR="00FC372D">
        <w:t>sześćset</w:t>
      </w:r>
      <w:r w:rsidRPr="00500F76">
        <w:t xml:space="preserve"> megabitów na sekundę)</w:t>
      </w:r>
      <w:r>
        <w:t>.</w:t>
      </w:r>
    </w:p>
    <w:p w14:paraId="49EA83C2" w14:textId="77777777" w:rsidR="00FC372D" w:rsidRDefault="008E2BA1" w:rsidP="00FC372D">
      <w:pPr>
        <w:pStyle w:val="Akapitzlist"/>
        <w:numPr>
          <w:ilvl w:val="1"/>
          <w:numId w:val="5"/>
        </w:numPr>
        <w:ind w:left="1134" w:hanging="774"/>
      </w:pPr>
      <w:r w:rsidRPr="00A375A2">
        <w:t xml:space="preserve">Miejscem instalacji łącza jest budynek </w:t>
      </w:r>
      <w:r w:rsidR="00AE07D8" w:rsidRPr="00A375A2">
        <w:t>Urzędu Morskiego w Gdyni</w:t>
      </w:r>
      <w:r w:rsidRPr="00A375A2">
        <w:t xml:space="preserve">, ul. </w:t>
      </w:r>
      <w:r w:rsidR="00AE07D8" w:rsidRPr="00A375A2">
        <w:t>Chrzanowskiego 10</w:t>
      </w:r>
      <w:r w:rsidRPr="00A375A2">
        <w:t>, 81-338 Gdynia</w:t>
      </w:r>
      <w:r w:rsidR="00500F76">
        <w:t>.</w:t>
      </w:r>
    </w:p>
    <w:p w14:paraId="737937EA" w14:textId="77777777" w:rsidR="00FC372D" w:rsidRDefault="008E2BA1" w:rsidP="00FC372D">
      <w:pPr>
        <w:pStyle w:val="Akapitzlist"/>
        <w:numPr>
          <w:ilvl w:val="1"/>
          <w:numId w:val="5"/>
        </w:numPr>
        <w:ind w:left="1134" w:hanging="774"/>
      </w:pPr>
      <w:r w:rsidRPr="00A375A2">
        <w:t xml:space="preserve">Zakończenie sieciowe po stronie zamawiającego musi być zgodne ze standardem Ethernet pracujące na portach miedzianych RJ45 </w:t>
      </w:r>
      <w:r w:rsidR="00500F76">
        <w:t>1000 Base-TX lub optycznych 1000 Base-LX/LH.</w:t>
      </w:r>
    </w:p>
    <w:p w14:paraId="772677B7" w14:textId="77777777" w:rsidR="00FC372D" w:rsidRDefault="008E2BA1" w:rsidP="00FC372D">
      <w:pPr>
        <w:pStyle w:val="Akapitzlist"/>
        <w:numPr>
          <w:ilvl w:val="1"/>
          <w:numId w:val="5"/>
        </w:numPr>
        <w:ind w:left="1134" w:hanging="774"/>
      </w:pPr>
      <w:r w:rsidRPr="00A375A2">
        <w:t>Wykonawca musi zapewnić obsługę ruchu generowanego przez Zamawiającego przy pomocy protokołu routingu BGP w wersji 4</w:t>
      </w:r>
      <w:r w:rsidR="00500F76">
        <w:t>.</w:t>
      </w:r>
    </w:p>
    <w:p w14:paraId="2B1E1F69" w14:textId="77777777" w:rsidR="00FC372D" w:rsidRDefault="008E2BA1" w:rsidP="00FC372D">
      <w:pPr>
        <w:pStyle w:val="Akapitzlist"/>
        <w:numPr>
          <w:ilvl w:val="1"/>
          <w:numId w:val="5"/>
        </w:numPr>
        <w:ind w:left="1134" w:hanging="774"/>
      </w:pPr>
      <w:r w:rsidRPr="00A375A2">
        <w:t>Wykonawca musi zapewnić obsługę klasy adresów IPv4 o charakterze (Provider Independent) należących do Zamawiającego</w:t>
      </w:r>
      <w:r w:rsidR="00500F76">
        <w:t xml:space="preserve"> posiadającego własny numer AS.</w:t>
      </w:r>
    </w:p>
    <w:p w14:paraId="4D9CEE97" w14:textId="77777777" w:rsidR="00FC372D" w:rsidRDefault="008E2BA1" w:rsidP="00FC372D">
      <w:pPr>
        <w:pStyle w:val="Akapitzlist"/>
        <w:numPr>
          <w:ilvl w:val="1"/>
          <w:numId w:val="5"/>
        </w:numPr>
        <w:ind w:left="1134" w:hanging="774"/>
      </w:pPr>
      <w:r w:rsidRPr="00A375A2">
        <w:t>Wykonawca musi zapewnić dostęp do wszystkich usług i serwisów internetowych krajowych i zagranicznych</w:t>
      </w:r>
      <w:r w:rsidR="00500F76">
        <w:t>.</w:t>
      </w:r>
    </w:p>
    <w:p w14:paraId="09BD5B93" w14:textId="77777777" w:rsidR="00FC372D" w:rsidRDefault="008E2BA1" w:rsidP="00FC372D">
      <w:pPr>
        <w:pStyle w:val="Akapitzlist"/>
        <w:numPr>
          <w:ilvl w:val="1"/>
          <w:numId w:val="5"/>
        </w:numPr>
        <w:ind w:left="1134" w:hanging="774"/>
      </w:pPr>
      <w:r w:rsidRPr="00A375A2">
        <w:t>Ilość generowanego ruchu przez Zamawiającego nie może być w żaden sposób limitowana oraz ograniczana funkcjonalnie</w:t>
      </w:r>
      <w:r w:rsidR="00500F76">
        <w:t>.</w:t>
      </w:r>
    </w:p>
    <w:p w14:paraId="23CB24BB" w14:textId="77777777" w:rsidR="00FC372D" w:rsidRDefault="008E2BA1" w:rsidP="00FC372D">
      <w:pPr>
        <w:pStyle w:val="Akapitzlist"/>
        <w:numPr>
          <w:ilvl w:val="1"/>
          <w:numId w:val="5"/>
        </w:numPr>
        <w:ind w:left="1134" w:hanging="774"/>
      </w:pPr>
      <w:r w:rsidRPr="00A375A2">
        <w:lastRenderedPageBreak/>
        <w:t xml:space="preserve">Wszystkie urządzenia instalowane w serwerowni </w:t>
      </w:r>
      <w:r w:rsidR="00AE07D8" w:rsidRPr="00A375A2">
        <w:t>w budynku Urzędu Morskiego w Gdyni przy ulicy Chrzanowskiego 10 w Gdyni</w:t>
      </w:r>
      <w:r w:rsidRPr="00A375A2">
        <w:t xml:space="preserve"> muszą być fabrycznie przystosowane do montażu i zamontowane w szafach RACK 19 cali.</w:t>
      </w:r>
    </w:p>
    <w:p w14:paraId="51AF43E8" w14:textId="77777777" w:rsidR="00FC372D" w:rsidRDefault="008E2BA1" w:rsidP="00FC372D">
      <w:pPr>
        <w:pStyle w:val="Akapitzlist"/>
        <w:numPr>
          <w:ilvl w:val="1"/>
          <w:numId w:val="5"/>
        </w:numPr>
        <w:ind w:left="1134" w:hanging="774"/>
      </w:pPr>
      <w:r w:rsidRPr="00A375A2">
        <w:t>Dostępność świadczonej usługi nie może być niższa niż 99,</w:t>
      </w:r>
      <w:r w:rsidR="00AE07D8" w:rsidRPr="00A375A2">
        <w:t>5</w:t>
      </w:r>
      <w:r w:rsidRPr="00A375A2">
        <w:t>% w skali roku</w:t>
      </w:r>
      <w:r w:rsidR="00500F76">
        <w:t>.</w:t>
      </w:r>
    </w:p>
    <w:p w14:paraId="39DA69B2" w14:textId="77777777" w:rsidR="00FC372D" w:rsidRDefault="008E2BA1" w:rsidP="00FC372D">
      <w:pPr>
        <w:pStyle w:val="Akapitzlist"/>
        <w:numPr>
          <w:ilvl w:val="1"/>
          <w:numId w:val="5"/>
        </w:numPr>
        <w:ind w:left="1134" w:hanging="774"/>
      </w:pPr>
      <w:r w:rsidRPr="00A375A2">
        <w:t>Gwarantowany czas usunięcia awarii na łączu nie może być wyższy niż 8 godzin</w:t>
      </w:r>
      <w:r w:rsidR="00500F76">
        <w:t>.</w:t>
      </w:r>
    </w:p>
    <w:p w14:paraId="5A35FBF7" w14:textId="77777777" w:rsidR="00FC372D" w:rsidRDefault="008E2BA1" w:rsidP="00FC372D">
      <w:pPr>
        <w:pStyle w:val="Akapitzlist"/>
        <w:numPr>
          <w:ilvl w:val="1"/>
          <w:numId w:val="5"/>
        </w:numPr>
        <w:ind w:left="1134" w:hanging="774"/>
      </w:pPr>
      <w:r w:rsidRPr="00A375A2">
        <w:t>Wykonawca musi zapewnić 24 godzinny serwis zgłoszeń awarii technicznych łącza</w:t>
      </w:r>
      <w:r w:rsidR="00500F76">
        <w:t>.</w:t>
      </w:r>
    </w:p>
    <w:p w14:paraId="5A25D71A" w14:textId="77777777" w:rsidR="00477123" w:rsidRPr="00477123" w:rsidRDefault="008E2BA1" w:rsidP="00981085">
      <w:pPr>
        <w:pStyle w:val="Akapitzlist"/>
        <w:numPr>
          <w:ilvl w:val="0"/>
          <w:numId w:val="5"/>
        </w:numPr>
      </w:pPr>
      <w:r w:rsidRPr="00477123">
        <w:rPr>
          <w:rFonts w:cstheme="minorHAnsi"/>
          <w:szCs w:val="24"/>
        </w:rPr>
        <w:t xml:space="preserve">Utrzymanie na życzenie Zamawiającego serwera </w:t>
      </w:r>
      <w:proofErr w:type="spellStart"/>
      <w:r w:rsidRPr="00477123">
        <w:rPr>
          <w:rFonts w:cstheme="minorHAnsi"/>
          <w:szCs w:val="24"/>
        </w:rPr>
        <w:t>secondary</w:t>
      </w:r>
      <w:proofErr w:type="spellEnd"/>
      <w:r w:rsidRPr="00477123">
        <w:rPr>
          <w:rFonts w:cstheme="minorHAnsi"/>
          <w:szCs w:val="24"/>
        </w:rPr>
        <w:t xml:space="preserve"> DNS dla strefy</w:t>
      </w:r>
      <w:r w:rsidR="00500F76" w:rsidRPr="00477123">
        <w:rPr>
          <w:rFonts w:cstheme="minorHAnsi"/>
          <w:szCs w:val="24"/>
        </w:rPr>
        <w:t>:</w:t>
      </w:r>
      <w:r w:rsidRPr="00477123">
        <w:rPr>
          <w:rFonts w:cstheme="minorHAnsi"/>
          <w:szCs w:val="24"/>
        </w:rPr>
        <w:t xml:space="preserve"> umgdy.gov.pl</w:t>
      </w:r>
    </w:p>
    <w:p w14:paraId="7CF88FAB" w14:textId="28D0C05A" w:rsidR="00833E94" w:rsidRDefault="00517644" w:rsidP="00622885">
      <w:pPr>
        <w:pStyle w:val="Akapitzlist"/>
        <w:numPr>
          <w:ilvl w:val="0"/>
          <w:numId w:val="5"/>
        </w:numPr>
      </w:pPr>
      <w:r>
        <w:t xml:space="preserve">Usługi muszą mieć charakter powszechny oraz muszą być świadczone zgodnie z powszechnie obowiązującymi przepisami tj. </w:t>
      </w:r>
      <w:r w:rsidR="00F82C58" w:rsidRPr="00F82C58">
        <w:t>z dnia 12 lipca 2024 r. - Prawo komunikacji elektronicznej (Dz. U. poz. 1221</w:t>
      </w:r>
      <w:r w:rsidR="00F82C58">
        <w:t>)</w:t>
      </w:r>
      <w:r>
        <w:t>.</w:t>
      </w:r>
    </w:p>
    <w:p w14:paraId="65949F07" w14:textId="395C7F47" w:rsidR="00517644" w:rsidRDefault="00F82C58" w:rsidP="00622885">
      <w:pPr>
        <w:pStyle w:val="Akapitzlist"/>
        <w:numPr>
          <w:ilvl w:val="0"/>
          <w:numId w:val="5"/>
        </w:numPr>
      </w:pPr>
      <w:r w:rsidRPr="00F82C58">
        <w:t>Świadczenie usługi może realizować Wykonawca, który został wpisany do rejestru przedsiębiorców telekomunikacyjnych prowadzonego przez Prezesa Urzędu Komunikacji Elektronicznej, zgodnie z ustawą z dnia 12 lipca 2024 r. - Prawo komunikacji elektronicznej (Dz. U. poz. 1221). W celu potwierdzenia spełnienia niniejszego warunku Wykonawca zobowiązany jest przedłożyć aktualne zaświadczenie o wpisie do rejestru przedsiębiorców telekomunikacyjnych wydane przez Prezesa Urzędu Komunikacji Elektronicznej.</w:t>
      </w:r>
    </w:p>
    <w:p w14:paraId="164F0530" w14:textId="597D3DAF" w:rsidR="00833E94" w:rsidRDefault="00833E94" w:rsidP="00833E94">
      <w:pPr>
        <w:pStyle w:val="Nagwek2"/>
      </w:pPr>
      <w:r>
        <w:t xml:space="preserve">Usługa ochrony przed atakami </w:t>
      </w:r>
      <w:proofErr w:type="spellStart"/>
      <w:r>
        <w:t>DDoS</w:t>
      </w:r>
      <w:proofErr w:type="spellEnd"/>
      <w:r w:rsidR="00F33A8E">
        <w:t>.</w:t>
      </w:r>
    </w:p>
    <w:p w14:paraId="66849CD9" w14:textId="77777777" w:rsidR="00833E94" w:rsidRDefault="00833E94" w:rsidP="00F33A8E">
      <w:pPr>
        <w:pStyle w:val="Nagwek3"/>
        <w:numPr>
          <w:ilvl w:val="0"/>
          <w:numId w:val="9"/>
        </w:numPr>
        <w:rPr>
          <w:lang w:val="en-US"/>
        </w:rPr>
      </w:pPr>
      <w:r w:rsidRPr="004A72CA">
        <w:t>Informacje</w:t>
      </w:r>
      <w:r w:rsidRPr="00F33A8E">
        <w:t xml:space="preserve"> </w:t>
      </w:r>
      <w:r w:rsidRPr="004A72CA">
        <w:t>ogólne</w:t>
      </w:r>
      <w:r w:rsidRPr="00F33A8E">
        <w:t>.</w:t>
      </w:r>
    </w:p>
    <w:p w14:paraId="08822C18" w14:textId="34B44D20" w:rsidR="00833E94" w:rsidRPr="00DE2E98" w:rsidRDefault="00833E94" w:rsidP="00833E94">
      <w:pPr>
        <w:pStyle w:val="Akapitzlist"/>
        <w:numPr>
          <w:ilvl w:val="1"/>
          <w:numId w:val="8"/>
        </w:numPr>
        <w:rPr>
          <w:rFonts w:cstheme="majorBidi"/>
        </w:rPr>
      </w:pPr>
      <w:r w:rsidRPr="00DE31BC">
        <w:t xml:space="preserve">Usługa </w:t>
      </w:r>
      <w:r w:rsidRPr="00C829B6">
        <w:t>musi być świadczona przez Wykonawcę w trybie całodobowym, siedem dni w tygodniu.</w:t>
      </w:r>
    </w:p>
    <w:p w14:paraId="3C816FD8" w14:textId="77777777" w:rsidR="00833E94" w:rsidRDefault="00833E94" w:rsidP="00F33A8E">
      <w:pPr>
        <w:pStyle w:val="Nagwek3"/>
        <w:numPr>
          <w:ilvl w:val="0"/>
          <w:numId w:val="8"/>
        </w:numPr>
      </w:pPr>
      <w:r>
        <w:t>Monitorowanie ruchu.</w:t>
      </w:r>
    </w:p>
    <w:p w14:paraId="4CAC7641" w14:textId="42AA69EA" w:rsidR="00833E94" w:rsidRDefault="00833E94" w:rsidP="00833E94">
      <w:pPr>
        <w:pStyle w:val="Akapitzlist"/>
        <w:numPr>
          <w:ilvl w:val="1"/>
          <w:numId w:val="8"/>
        </w:numPr>
      </w:pPr>
      <w:r>
        <w:t xml:space="preserve">Usługa </w:t>
      </w:r>
      <w:r w:rsidR="00F33A8E">
        <w:t>musi</w:t>
      </w:r>
      <w:r>
        <w:t xml:space="preserve"> obejm</w:t>
      </w:r>
      <w:r w:rsidR="00F33A8E">
        <w:t>ować</w:t>
      </w:r>
      <w:r>
        <w:t xml:space="preserve"> monitorowanie ruchu sieciowego kierowanego do sieci Zamawiającego pod kątem prób ataków </w:t>
      </w:r>
      <w:proofErr w:type="spellStart"/>
      <w:r>
        <w:t>DDoS</w:t>
      </w:r>
      <w:proofErr w:type="spellEnd"/>
      <w:r>
        <w:t xml:space="preserve"> na udostępnione przez Zamawiającego w sieci Internet treści i usługi.</w:t>
      </w:r>
    </w:p>
    <w:p w14:paraId="0F416BB7" w14:textId="1EAE1C36" w:rsidR="00833E94" w:rsidRDefault="00833E94" w:rsidP="00833E94">
      <w:pPr>
        <w:pStyle w:val="Akapitzlist"/>
        <w:numPr>
          <w:ilvl w:val="1"/>
          <w:numId w:val="8"/>
        </w:numPr>
      </w:pPr>
      <w:r>
        <w:t>Usługa monitorowania ruchu musi opierać się na monitorowaniu urządzeń aktywnych Wykonawcy, które wykorzystuje on w realizacji usług dostępu do Internetu dla Zamawiającego.</w:t>
      </w:r>
    </w:p>
    <w:p w14:paraId="5BCE05A0" w14:textId="77777777" w:rsidR="00833E94" w:rsidRDefault="00833E94" w:rsidP="00833E94">
      <w:pPr>
        <w:pStyle w:val="Akapitzlist"/>
        <w:numPr>
          <w:ilvl w:val="1"/>
          <w:numId w:val="8"/>
        </w:numPr>
      </w:pPr>
      <w:r>
        <w:t>Dane zgromadzone w procesie monitoringu muszą być podstawą do sporządzania statystyk ruchu.</w:t>
      </w:r>
    </w:p>
    <w:p w14:paraId="09BAA32B" w14:textId="77777777" w:rsidR="00833E94" w:rsidRDefault="00833E94" w:rsidP="00833E94">
      <w:pPr>
        <w:pStyle w:val="Akapitzlist"/>
        <w:numPr>
          <w:ilvl w:val="1"/>
          <w:numId w:val="8"/>
        </w:numPr>
      </w:pPr>
      <w:r>
        <w:t>Monitorowanie ruchu na chronionym łączu Zamawiającego musi odbywać się w na zasadzie próbkowania w trybie ciągłym w czasie rzeczywistym.</w:t>
      </w:r>
    </w:p>
    <w:p w14:paraId="58126C81" w14:textId="77777777" w:rsidR="00833E94" w:rsidRDefault="00833E94" w:rsidP="00F33A8E">
      <w:pPr>
        <w:pStyle w:val="Nagwek3"/>
        <w:numPr>
          <w:ilvl w:val="0"/>
          <w:numId w:val="8"/>
        </w:numPr>
      </w:pPr>
      <w:r>
        <w:t>Wykrywanie zagrożeń.</w:t>
      </w:r>
    </w:p>
    <w:p w14:paraId="55D9806E" w14:textId="1432F08B" w:rsidR="00833E94" w:rsidRDefault="00833E94" w:rsidP="00833E94">
      <w:pPr>
        <w:pStyle w:val="Akapitzlist"/>
        <w:numPr>
          <w:ilvl w:val="1"/>
          <w:numId w:val="8"/>
        </w:numPr>
      </w:pPr>
      <w:r>
        <w:t>Wykrywanie zagrożeń w ruchu sieciowym musi odbywać się co najmniej na podstawie następujących mechaniz</w:t>
      </w:r>
      <w:r w:rsidR="00F33A8E">
        <w:t>mów</w:t>
      </w:r>
      <w:r>
        <w:t xml:space="preserve"> detekcji:</w:t>
      </w:r>
    </w:p>
    <w:p w14:paraId="1420E790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>Sygnatury.</w:t>
      </w:r>
    </w:p>
    <w:p w14:paraId="4D602C7E" w14:textId="77777777" w:rsidR="00833E94" w:rsidRDefault="00833E94" w:rsidP="00833E94">
      <w:pPr>
        <w:pStyle w:val="Akapitzlist"/>
        <w:numPr>
          <w:ilvl w:val="2"/>
          <w:numId w:val="8"/>
        </w:numPr>
      </w:pPr>
      <w:r>
        <w:lastRenderedPageBreak/>
        <w:t>Przekroczenie wartości progowych dla określonych typów pakietów i protokołów.</w:t>
      </w:r>
    </w:p>
    <w:p w14:paraId="7D97CBEA" w14:textId="23B5E585" w:rsidR="00833E94" w:rsidRDefault="00833E94" w:rsidP="00833E94">
      <w:pPr>
        <w:pStyle w:val="Akapitzlist"/>
        <w:numPr>
          <w:ilvl w:val="2"/>
          <w:numId w:val="8"/>
        </w:numPr>
      </w:pPr>
      <w:r>
        <w:t>Wykrywanie anomalii ruchu sieciowego w stosunku do profilu ruchu sieciowego Zamawiającego.</w:t>
      </w:r>
    </w:p>
    <w:p w14:paraId="4376D0A9" w14:textId="47EDE73D" w:rsidR="00833E94" w:rsidRDefault="00833E94" w:rsidP="00833E94">
      <w:pPr>
        <w:pStyle w:val="Akapitzlist"/>
        <w:numPr>
          <w:ilvl w:val="1"/>
          <w:numId w:val="8"/>
        </w:numPr>
      </w:pPr>
      <w:r w:rsidRPr="009571AB">
        <w:t xml:space="preserve">W ramach usługi </w:t>
      </w:r>
      <w:r>
        <w:t>Wykonawca monitoruje ruch do i od chronionej podsieci w czasie rzeczywistym.</w:t>
      </w:r>
    </w:p>
    <w:p w14:paraId="402FB897" w14:textId="77777777" w:rsidR="00833E94" w:rsidRDefault="00833E94" w:rsidP="00833E94">
      <w:pPr>
        <w:pStyle w:val="Akapitzlist"/>
        <w:numPr>
          <w:ilvl w:val="1"/>
          <w:numId w:val="8"/>
        </w:numPr>
      </w:pPr>
      <w:r>
        <w:t xml:space="preserve">Wykonawca musi zapewniać wykrywanie anomalii ruchu sieciowym, co najmniej dla: TCP SYN, TCP RST, TCP </w:t>
      </w:r>
      <w:proofErr w:type="spellStart"/>
      <w:r>
        <w:t>Null</w:t>
      </w:r>
      <w:proofErr w:type="spellEnd"/>
      <w:r>
        <w:t xml:space="preserve">, ICMP, IP </w:t>
      </w:r>
      <w:proofErr w:type="spellStart"/>
      <w:r>
        <w:t>Null</w:t>
      </w:r>
      <w:proofErr w:type="spellEnd"/>
      <w:r>
        <w:t xml:space="preserve">, IP </w:t>
      </w:r>
      <w:proofErr w:type="spellStart"/>
      <w:r>
        <w:t>Fragmented</w:t>
      </w:r>
      <w:proofErr w:type="spellEnd"/>
      <w:r>
        <w:t>, DNS.</w:t>
      </w:r>
    </w:p>
    <w:p w14:paraId="01C9407E" w14:textId="0CCCE1A9" w:rsidR="00833E94" w:rsidRDefault="00833E94" w:rsidP="00833E94">
      <w:pPr>
        <w:pStyle w:val="Akapitzlist"/>
        <w:numPr>
          <w:ilvl w:val="1"/>
          <w:numId w:val="8"/>
        </w:numPr>
      </w:pPr>
      <w:r>
        <w:t>W oparciu o dane historyczne system musi określać oczekiwaną wartość ruchu od i do Zamawiającego w danym czasie</w:t>
      </w:r>
      <w:r w:rsidR="00E51766">
        <w:t>.</w:t>
      </w:r>
    </w:p>
    <w:p w14:paraId="20BBC7C4" w14:textId="2AF9C359" w:rsidR="00833E94" w:rsidRDefault="00833E94" w:rsidP="00833E94">
      <w:pPr>
        <w:pStyle w:val="Akapitzlist"/>
        <w:numPr>
          <w:ilvl w:val="1"/>
          <w:numId w:val="8"/>
        </w:numPr>
      </w:pPr>
      <w:r>
        <w:t>Wykonawca musi zapewnić wykrywanie anomalii ruchu sieciowego polegających na znacznym przekroczeniu wolumenu ruchu w stosunku do wcześniej wyznaczonych wartości oczekiwanego ruch</w:t>
      </w:r>
      <w:r w:rsidR="00E51766">
        <w:t>u</w:t>
      </w:r>
      <w:r>
        <w:t xml:space="preserve"> dla Zamawiającego.</w:t>
      </w:r>
    </w:p>
    <w:p w14:paraId="5EEB6134" w14:textId="77777777" w:rsidR="00833E94" w:rsidRDefault="00833E94" w:rsidP="00833E94">
      <w:pPr>
        <w:pStyle w:val="Akapitzlist"/>
        <w:numPr>
          <w:ilvl w:val="1"/>
          <w:numId w:val="8"/>
        </w:numPr>
      </w:pPr>
      <w:r>
        <w:t>Wykonawca musi klasyfikować ruch sieciowy co najmniej na następujące kategorie:</w:t>
      </w:r>
    </w:p>
    <w:p w14:paraId="06FCDED0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>Zweryfikowany atak.</w:t>
      </w:r>
    </w:p>
    <w:p w14:paraId="2DFC79A7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>Fałszywy alarm.</w:t>
      </w:r>
    </w:p>
    <w:p w14:paraId="49D3B5F6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>Nagły ruch, tj. wzrost woluminu ruchu sieciowego spowodowany inną przyczyną niż atak.</w:t>
      </w:r>
    </w:p>
    <w:p w14:paraId="59F88458" w14:textId="77777777" w:rsidR="00833E94" w:rsidRDefault="00833E94" w:rsidP="00833E94">
      <w:pPr>
        <w:pStyle w:val="Akapitzlist"/>
        <w:numPr>
          <w:ilvl w:val="1"/>
          <w:numId w:val="8"/>
        </w:numPr>
        <w:spacing w:before="240" w:after="240" w:line="360" w:lineRule="exact"/>
      </w:pPr>
      <w:r>
        <w:t>Wykonawca musi powiadamiać Zamawiającego o pojawieniu się zagrożeń wskazujących na wystąpienie ataku (alarmów krytycznych) w terminie nie dłuższym niż 15 minut od momentu ich identyfikacji.</w:t>
      </w:r>
    </w:p>
    <w:p w14:paraId="2DFA05FA" w14:textId="77777777" w:rsidR="00833E94" w:rsidRDefault="00833E94" w:rsidP="00833E94">
      <w:pPr>
        <w:pStyle w:val="Akapitzlist"/>
        <w:numPr>
          <w:ilvl w:val="1"/>
          <w:numId w:val="8"/>
        </w:numPr>
      </w:pPr>
      <w:r>
        <w:t>Wykonawca musi powiadamiać Zamawiającego o pojawieniu się alarmów krytycznych, obejmujących co najmniej taki zdarzenia, jak:</w:t>
      </w:r>
    </w:p>
    <w:p w14:paraId="6BC411C6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 xml:space="preserve">Potencjalne ataki </w:t>
      </w:r>
      <w:proofErr w:type="spellStart"/>
      <w:r>
        <w:t>DDoS</w:t>
      </w:r>
      <w:proofErr w:type="spellEnd"/>
      <w:r>
        <w:t>.</w:t>
      </w:r>
    </w:p>
    <w:p w14:paraId="5BEABD7B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>Utrata komunikacji z monitorowanymi zasobami.</w:t>
      </w:r>
    </w:p>
    <w:p w14:paraId="57740EE5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>Inne alarmy wynikające z ustaleń z Zamawiającym.</w:t>
      </w:r>
    </w:p>
    <w:p w14:paraId="1A6C40A9" w14:textId="1BCB158A" w:rsidR="00833E94" w:rsidRDefault="00833E94" w:rsidP="00833E94">
      <w:pPr>
        <w:pStyle w:val="Akapitzlist"/>
        <w:numPr>
          <w:ilvl w:val="1"/>
          <w:numId w:val="8"/>
        </w:numPr>
      </w:pPr>
      <w:r>
        <w:t>Kryteria definiujące wystąpienie zdarzeń oraz poziom, jaki zostanie przyporządkowany dla poszczególnych zdarzeń musi zostać uzgodniony z Zamawiającym na etapie wdrożenia usługi</w:t>
      </w:r>
      <w:r w:rsidR="00E51766">
        <w:t>.</w:t>
      </w:r>
    </w:p>
    <w:p w14:paraId="45F9423A" w14:textId="77777777" w:rsidR="00833E94" w:rsidRPr="009571AB" w:rsidRDefault="00833E94" w:rsidP="00F33A8E">
      <w:pPr>
        <w:pStyle w:val="Nagwek3"/>
        <w:numPr>
          <w:ilvl w:val="0"/>
          <w:numId w:val="8"/>
        </w:numPr>
      </w:pPr>
      <w:r>
        <w:t xml:space="preserve">Oczyszczanie ruchu - </w:t>
      </w:r>
      <w:proofErr w:type="spellStart"/>
      <w:r>
        <w:t>mitygacja</w:t>
      </w:r>
      <w:proofErr w:type="spellEnd"/>
      <w:r>
        <w:t>.</w:t>
      </w:r>
    </w:p>
    <w:p w14:paraId="066E72B5" w14:textId="77777777" w:rsidR="00833E94" w:rsidRDefault="00833E94" w:rsidP="00833E94">
      <w:pPr>
        <w:pStyle w:val="Akapitzlist"/>
        <w:numPr>
          <w:ilvl w:val="1"/>
          <w:numId w:val="8"/>
        </w:numPr>
        <w:spacing w:before="240" w:after="240" w:line="360" w:lineRule="exact"/>
      </w:pPr>
      <w:r>
        <w:t>Mechanizmy oczyszczania ruchu sieciowego muszą w maksymalnym stopniu filtrować ruch niepożądany, a jednocześnie nie mogą w znaczący sposób oddziaływać (ograniczać, blokować itp.) na ruch uprawniony.</w:t>
      </w:r>
    </w:p>
    <w:p w14:paraId="56332FBE" w14:textId="77777777" w:rsidR="00833E94" w:rsidRDefault="00833E94" w:rsidP="00833E94">
      <w:pPr>
        <w:pStyle w:val="Akapitzlist"/>
        <w:numPr>
          <w:ilvl w:val="1"/>
          <w:numId w:val="8"/>
        </w:numPr>
        <w:spacing w:before="240" w:after="240" w:line="360" w:lineRule="exact"/>
      </w:pPr>
      <w:r>
        <w:t xml:space="preserve">W ramach oczyszczania ruchu Wykonawca musi zapewnić automatyczną </w:t>
      </w:r>
      <w:proofErr w:type="spellStart"/>
      <w:r>
        <w:t>mitygację</w:t>
      </w:r>
      <w:proofErr w:type="spellEnd"/>
      <w:r>
        <w:t xml:space="preserve"> zdarzenia, polegającą na przekierowywaniu zidentyfikowanego złośliwego ruchu </w:t>
      </w:r>
      <w:proofErr w:type="spellStart"/>
      <w:r>
        <w:t>DDoS</w:t>
      </w:r>
      <w:proofErr w:type="spellEnd"/>
      <w:r>
        <w:t xml:space="preserve"> do centrum analizy ruchu Wykonawcy, przefiltrowaniu i oczyszczeniu go z niepożądanej aktywności, a następnie przekierowaniu go do Zamawiającego.</w:t>
      </w:r>
    </w:p>
    <w:p w14:paraId="04BB6963" w14:textId="77777777" w:rsidR="00833E94" w:rsidRDefault="00833E94" w:rsidP="00833E94">
      <w:pPr>
        <w:pStyle w:val="Akapitzlist"/>
        <w:numPr>
          <w:ilvl w:val="1"/>
          <w:numId w:val="8"/>
        </w:numPr>
        <w:spacing w:before="240" w:after="240" w:line="360" w:lineRule="exact"/>
      </w:pPr>
      <w:r>
        <w:t xml:space="preserve"> Centrum analizy ruchu Wykonawcy nie może znajdować się poza terenem Rzeczypospolitej Polskiej.</w:t>
      </w:r>
    </w:p>
    <w:p w14:paraId="24C6BAE1" w14:textId="77777777" w:rsidR="00833E94" w:rsidRDefault="00833E94" w:rsidP="00833E94">
      <w:pPr>
        <w:pStyle w:val="Akapitzlist"/>
        <w:numPr>
          <w:ilvl w:val="1"/>
          <w:numId w:val="8"/>
        </w:numPr>
        <w:spacing w:before="240" w:after="240" w:line="360" w:lineRule="exact"/>
      </w:pPr>
      <w:r>
        <w:lastRenderedPageBreak/>
        <w:t xml:space="preserve">W trakcie </w:t>
      </w:r>
      <w:proofErr w:type="spellStart"/>
      <w:r>
        <w:t>mitygacji</w:t>
      </w:r>
      <w:proofErr w:type="spellEnd"/>
      <w:r>
        <w:t xml:space="preserve"> ruch sieciowy nie może być przekierowany poza teren Rzeczypospolitej Polskiej.</w:t>
      </w:r>
    </w:p>
    <w:p w14:paraId="76FC2140" w14:textId="77777777" w:rsidR="00833E94" w:rsidRDefault="00833E94" w:rsidP="00833E94">
      <w:pPr>
        <w:pStyle w:val="Akapitzlist"/>
        <w:numPr>
          <w:ilvl w:val="1"/>
          <w:numId w:val="8"/>
        </w:numPr>
        <w:spacing w:before="240" w:after="240" w:line="360" w:lineRule="exact"/>
      </w:pPr>
      <w:r>
        <w:t>Ruch w sieci Zamawiającego przekierowany do oczyszczania nie może być wysyłany poza obszar i infrastrukturę, która nie znajduje się pod bezpośrednim nadzorem Wykonawcy.</w:t>
      </w:r>
    </w:p>
    <w:p w14:paraId="41949A72" w14:textId="77777777" w:rsidR="00833E94" w:rsidRDefault="00833E94" w:rsidP="00833E94">
      <w:pPr>
        <w:pStyle w:val="Akapitzlist"/>
        <w:numPr>
          <w:ilvl w:val="1"/>
          <w:numId w:val="8"/>
        </w:numPr>
        <w:spacing w:before="240" w:after="240" w:line="360" w:lineRule="exact"/>
      </w:pPr>
      <w:r>
        <w:t>Wykonawca musi poddawać ciągłej analizie ruch sieciowy i konfigurację mechanizmów filtracji i w porozumieniu z Zamawiającym dokonywać modyfikacji, aby realizować założenia opisane w punkcie 4.1.</w:t>
      </w:r>
    </w:p>
    <w:p w14:paraId="7CF5ED8A" w14:textId="77777777" w:rsidR="00833E94" w:rsidRDefault="00833E94" w:rsidP="00833E94">
      <w:pPr>
        <w:pStyle w:val="Akapitzlist"/>
        <w:numPr>
          <w:ilvl w:val="1"/>
          <w:numId w:val="8"/>
        </w:numPr>
        <w:spacing w:before="240" w:after="240" w:line="360" w:lineRule="exact"/>
      </w:pPr>
      <w:r>
        <w:t>Wykonawca w ramach świadczonej usługi oczyszczania ruchu musi zapewniać:</w:t>
      </w:r>
    </w:p>
    <w:p w14:paraId="01A6B714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 xml:space="preserve">Ochronę przed atakami wolumetrycznymi o wolumenie do 50 </w:t>
      </w:r>
      <w:proofErr w:type="spellStart"/>
      <w:r>
        <w:t>Gb</w:t>
      </w:r>
      <w:proofErr w:type="spellEnd"/>
      <w:r>
        <w:t>/sek.</w:t>
      </w:r>
    </w:p>
    <w:p w14:paraId="73CA3C20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>Filtrowanie ruchu z błędnymi nagłówkami IP, TCP, UDP.</w:t>
      </w:r>
    </w:p>
    <w:p w14:paraId="30718ADE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>Filtrowanie ruchu na określonych portach TCP i UDP na podstawie zawartości pola danych w oparciu o wyrażenia regularne.</w:t>
      </w:r>
    </w:p>
    <w:p w14:paraId="0EE9339A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>Odrzucanie lub przepuszczanie ruchu sieciowego na podstawie zdefiniowanych – we współpracy z Zamawiającym – filtrów, operujących na informacjach w nagłówkach.</w:t>
      </w:r>
    </w:p>
    <w:p w14:paraId="236D6354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 xml:space="preserve">Ochronę przed atakami ze </w:t>
      </w:r>
      <w:proofErr w:type="spellStart"/>
      <w:r>
        <w:t>spoofowanymi</w:t>
      </w:r>
      <w:proofErr w:type="spellEnd"/>
      <w:r>
        <w:t xml:space="preserve"> adresami źródłowymi IP poprzez autentykację sesji TCP, zapytań DNS oraz zapytań http.</w:t>
      </w:r>
    </w:p>
    <w:p w14:paraId="368852D3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>Filtrowanie nieprawidłowych zapytań DNS.</w:t>
      </w:r>
    </w:p>
    <w:p w14:paraId="26DE432B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 xml:space="preserve">Ograniczenia zapytań DNS do zadanej wartości zapytań na sek. </w:t>
      </w:r>
    </w:p>
    <w:p w14:paraId="37C38C48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>Co najmniej 5 filtrów opartych o wyrażenia regularne, definiujące zakres stosowania autentykacji DNS oraz ograniczania liczby zapytań DNS.</w:t>
      </w:r>
    </w:p>
    <w:p w14:paraId="63E980D1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>Filtrowanie nieprawidłowych zapytań http.</w:t>
      </w:r>
    </w:p>
    <w:p w14:paraId="0FFFC9E4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>Blokowanie ruchu od stacji końcowych przekraczających progi dla operacji HTTP na sekundę per serwer lub per URL.</w:t>
      </w:r>
    </w:p>
    <w:p w14:paraId="62F0DBE2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>Co najmniej 5 filtrów opartych o wyrażenia regularne, definiujących zakres stosowania autentykacji HTTP lub ograniczania liczby zapytań http.</w:t>
      </w:r>
    </w:p>
    <w:p w14:paraId="4D3065D0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>Filtrowanie ruchu w oparciu o wyrażenia regularne dotyczące nagłówków http.</w:t>
      </w:r>
    </w:p>
    <w:p w14:paraId="54BEA7F0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 xml:space="preserve">Ochronę przez atakami typu </w:t>
      </w:r>
      <w:proofErr w:type="spellStart"/>
      <w:r w:rsidRPr="00833E94">
        <w:t>slow</w:t>
      </w:r>
      <w:proofErr w:type="spellEnd"/>
      <w:r w:rsidRPr="00833E94">
        <w:t xml:space="preserve"> </w:t>
      </w:r>
      <w:proofErr w:type="spellStart"/>
      <w:r w:rsidRPr="00833E94">
        <w:t>Lories</w:t>
      </w:r>
      <w:proofErr w:type="spellEnd"/>
      <w:r>
        <w:t>, poprzez resetowanie połączeń, które pozostają nieaktywne przez zadany okres czasu.</w:t>
      </w:r>
    </w:p>
    <w:p w14:paraId="313D980D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 xml:space="preserve">Ochronę przez atakami typu </w:t>
      </w:r>
      <w:proofErr w:type="spellStart"/>
      <w:r w:rsidRPr="00833E94">
        <w:t>slow</w:t>
      </w:r>
      <w:proofErr w:type="spellEnd"/>
      <w:r w:rsidRPr="00074E73">
        <w:t xml:space="preserve"> </w:t>
      </w:r>
      <w:proofErr w:type="spellStart"/>
      <w:r w:rsidRPr="00833E94">
        <w:t>Lories</w:t>
      </w:r>
      <w:proofErr w:type="spellEnd"/>
      <w:r>
        <w:t>, poprzez resetowanie sesji TCP, której aktywność jest poniżej zadanej liczby bajtów przesyłanej w zadanym okresie czasu.</w:t>
      </w:r>
    </w:p>
    <w:p w14:paraId="22FEF9D9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 xml:space="preserve">Wykrywanie ruchu kierowanego z serwerów CDN </w:t>
      </w:r>
      <w:proofErr w:type="spellStart"/>
      <w:r w:rsidRPr="00833E94">
        <w:t>proxy</w:t>
      </w:r>
      <w:proofErr w:type="spellEnd"/>
      <w:r>
        <w:t xml:space="preserve"> i stosowanie algorytmów filtrowania na podstawie oryginalnego źródła ruchu </w:t>
      </w:r>
    </w:p>
    <w:p w14:paraId="2AC3CC7B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>Wykrywanie i filtrowanie pakietów z nieprawidłowymi nagłówkami SSL/TLS lub nagłówkami SSL/TLS, które są poza sekwencją.</w:t>
      </w:r>
    </w:p>
    <w:p w14:paraId="34884B93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lastRenderedPageBreak/>
        <w:t>Blokowanie sesji, jeżeli podczas negocjacji SSL/TLS klient zażąda nadmiernej ilości metod kryptograficznych lub rozszerzeń użytkownika - próg dla tych wartości musi być konfigurowalny.</w:t>
      </w:r>
    </w:p>
    <w:p w14:paraId="6BC8056A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>Wykrywanie i rozłączanie sesji, jeżeli negocjacja SSL/TLS nie zakończy się w zadanym czasie.</w:t>
      </w:r>
    </w:p>
    <w:p w14:paraId="7384AA7E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>Blokowanie ruchu ze stacji, dla których występuje nadmierna liczba nieprawidłowych, nadmiarowych lub niekompletnych sesji SSL.</w:t>
      </w:r>
    </w:p>
    <w:p w14:paraId="438D8EB2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>Monitorowanie negocjacji SSL dla wszystkich portów, na których mogą być stosowane aplikacje zabezpieczone protokołem TLS: HTTPS, SMTP, IMAP4, POP, LDAP, IRC, NNTP, TELNET, FTP i SIP.</w:t>
      </w:r>
    </w:p>
    <w:p w14:paraId="28A8244C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 xml:space="preserve">Ochronę przed atakami pochodzącym od sieci </w:t>
      </w:r>
      <w:proofErr w:type="spellStart"/>
      <w:r>
        <w:t>botnetowych</w:t>
      </w:r>
      <w:proofErr w:type="spellEnd"/>
      <w:r>
        <w:t xml:space="preserve"> poprzez filtrowanie dzięki na bieżąco aktualizowanym sygnaturom zawierającym listę adresów IP.</w:t>
      </w:r>
    </w:p>
    <w:p w14:paraId="55854516" w14:textId="77777777" w:rsidR="00833E94" w:rsidRDefault="00833E94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 xml:space="preserve">Ochronę przed atakami pochodzącymi z sieci </w:t>
      </w:r>
      <w:proofErr w:type="spellStart"/>
      <w:r>
        <w:t>botnetowych</w:t>
      </w:r>
      <w:proofErr w:type="spellEnd"/>
      <w:r>
        <w:t xml:space="preserve"> poprzez wykrywanie źródeł ataku o wolumenie przekraczającym zadane wartości.</w:t>
      </w:r>
    </w:p>
    <w:p w14:paraId="74B82FC9" w14:textId="54EC81D5" w:rsidR="00833E94" w:rsidRDefault="00E51766" w:rsidP="00833E94">
      <w:pPr>
        <w:pStyle w:val="Akapitzlist"/>
        <w:numPr>
          <w:ilvl w:val="2"/>
          <w:numId w:val="8"/>
        </w:numPr>
        <w:spacing w:before="240" w:after="240" w:line="360" w:lineRule="exact"/>
      </w:pPr>
      <w:r>
        <w:t>U</w:t>
      </w:r>
      <w:r w:rsidR="00833E94">
        <w:t xml:space="preserve">ruchamianie </w:t>
      </w:r>
      <w:proofErr w:type="spellStart"/>
      <w:r w:rsidR="00833E94">
        <w:t>mitygacji</w:t>
      </w:r>
      <w:proofErr w:type="spellEnd"/>
      <w:r w:rsidR="00833E94">
        <w:t xml:space="preserve"> w celu nauczenia się systemu wartości typowych ruchu, które następnie mogą być wykorzystywania do właściwego ustawiania progów dla algorytmów </w:t>
      </w:r>
      <w:proofErr w:type="spellStart"/>
      <w:r w:rsidR="00833E94">
        <w:t>mitygacji</w:t>
      </w:r>
      <w:proofErr w:type="spellEnd"/>
      <w:r w:rsidR="00833E94">
        <w:t xml:space="preserve">. </w:t>
      </w:r>
    </w:p>
    <w:p w14:paraId="590E2735" w14:textId="77777777" w:rsidR="00833E94" w:rsidRDefault="00833E94" w:rsidP="00833E94">
      <w:pPr>
        <w:pStyle w:val="Akapitzlist"/>
        <w:numPr>
          <w:ilvl w:val="1"/>
          <w:numId w:val="8"/>
        </w:numPr>
        <w:spacing w:before="240" w:after="240" w:line="360" w:lineRule="exact"/>
      </w:pPr>
      <w:r>
        <w:t xml:space="preserve">Czas uruchomienia </w:t>
      </w:r>
      <w:proofErr w:type="spellStart"/>
      <w:r>
        <w:t>automitygacji</w:t>
      </w:r>
      <w:proofErr w:type="spellEnd"/>
      <w:r>
        <w:t xml:space="preserve"> nie może być dłuższy niż 5 minut od momentu przekroczenia parametrów detekcji złośliwego ruchu.</w:t>
      </w:r>
    </w:p>
    <w:p w14:paraId="0F02F965" w14:textId="77777777" w:rsidR="00833E94" w:rsidRDefault="00833E94" w:rsidP="00833E94">
      <w:pPr>
        <w:pStyle w:val="Akapitzlist"/>
        <w:numPr>
          <w:ilvl w:val="1"/>
          <w:numId w:val="8"/>
        </w:numPr>
        <w:spacing w:before="240" w:after="240" w:line="360" w:lineRule="exact"/>
      </w:pPr>
      <w:r>
        <w:t>Ruch sieciowy musi być oczyszczany do momentu ustania ataku.</w:t>
      </w:r>
    </w:p>
    <w:p w14:paraId="002642B4" w14:textId="77777777" w:rsidR="00833E94" w:rsidRDefault="00833E94" w:rsidP="00833E94">
      <w:pPr>
        <w:pStyle w:val="Akapitzlist"/>
        <w:numPr>
          <w:ilvl w:val="1"/>
          <w:numId w:val="8"/>
        </w:numPr>
        <w:spacing w:before="240" w:after="240" w:line="360" w:lineRule="exact"/>
      </w:pPr>
      <w:r>
        <w:t xml:space="preserve">W przypadku, gdy uruchomiana procedura eliminacji </w:t>
      </w:r>
      <w:proofErr w:type="spellStart"/>
      <w:r>
        <w:t>DDoS</w:t>
      </w:r>
      <w:proofErr w:type="spellEnd"/>
      <w:r>
        <w:t xml:space="preserve"> ma negatywny wpływ na zasoby lub usługi, Zamawiający ma możliwość jej przerwania, co następuje w czasie nie dłuższym niż 15 minut od momentu zgłoszenia takiej potrzeby przez Zamawiającego.</w:t>
      </w:r>
    </w:p>
    <w:p w14:paraId="56D9B0E8" w14:textId="77777777" w:rsidR="00833E94" w:rsidRDefault="00833E94" w:rsidP="00F33A8E">
      <w:pPr>
        <w:pStyle w:val="Nagwek3"/>
        <w:numPr>
          <w:ilvl w:val="0"/>
          <w:numId w:val="8"/>
        </w:numPr>
      </w:pPr>
      <w:r>
        <w:t>Raportowanie.</w:t>
      </w:r>
    </w:p>
    <w:p w14:paraId="786492FD" w14:textId="77777777" w:rsidR="00833E94" w:rsidRDefault="00833E94" w:rsidP="00833E94">
      <w:pPr>
        <w:pStyle w:val="Akapitzlist"/>
        <w:numPr>
          <w:ilvl w:val="1"/>
          <w:numId w:val="8"/>
        </w:numPr>
      </w:pPr>
      <w:r>
        <w:t>Wykonawca musi s</w:t>
      </w:r>
      <w:r w:rsidRPr="00C21FF2">
        <w:t>porządza</w:t>
      </w:r>
      <w:r>
        <w:t>ć</w:t>
      </w:r>
      <w:r w:rsidRPr="00C21FF2">
        <w:t xml:space="preserve"> i przesyła</w:t>
      </w:r>
      <w:r>
        <w:t>ć</w:t>
      </w:r>
      <w:r w:rsidRPr="00C21FF2">
        <w:t xml:space="preserve"> w formie elektronicznej do Zamawiającego raport</w:t>
      </w:r>
      <w:r>
        <w:t>y ze</w:t>
      </w:r>
      <w:r w:rsidRPr="00C21FF2">
        <w:t xml:space="preserve"> zdarzeń zaistniałych w ramach realizacji niniejszej usługi. Raport musi obejmować co najmniej</w:t>
      </w:r>
      <w:r>
        <w:t>:</w:t>
      </w:r>
    </w:p>
    <w:p w14:paraId="4567F2EA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>Wielkość ruchu przychodzącego i wychodzącego.</w:t>
      </w:r>
    </w:p>
    <w:p w14:paraId="3FDED05A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>Maksymalne wartości ruchu.</w:t>
      </w:r>
    </w:p>
    <w:p w14:paraId="61EBE243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>Listę zarejestrowanych ataków.</w:t>
      </w:r>
    </w:p>
    <w:p w14:paraId="31540ED0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>Listę usuniętych ataków.</w:t>
      </w:r>
    </w:p>
    <w:p w14:paraId="00C91FAD" w14:textId="103DA571" w:rsidR="00833E94" w:rsidRDefault="00833E94" w:rsidP="00F33A8E">
      <w:pPr>
        <w:pStyle w:val="Nagwek3"/>
        <w:numPr>
          <w:ilvl w:val="0"/>
          <w:numId w:val="8"/>
        </w:numPr>
      </w:pPr>
      <w:r w:rsidRPr="00AE06EF">
        <w:t>Dostęp do panelu użytkownika.</w:t>
      </w:r>
    </w:p>
    <w:p w14:paraId="3ED0E8B8" w14:textId="63B2AF90" w:rsidR="00833E94" w:rsidRDefault="00833E94" w:rsidP="00833E94">
      <w:pPr>
        <w:pStyle w:val="Akapitzlist"/>
        <w:numPr>
          <w:ilvl w:val="1"/>
          <w:numId w:val="8"/>
        </w:numPr>
      </w:pPr>
      <w:r>
        <w:t>Wykonawca musi przydzielić Zamawiającemu dostęp do serwisu www dla usługi.</w:t>
      </w:r>
    </w:p>
    <w:p w14:paraId="6F7CAF83" w14:textId="77777777" w:rsidR="00833E94" w:rsidRDefault="00833E94" w:rsidP="00833E94">
      <w:pPr>
        <w:pStyle w:val="Akapitzlist"/>
        <w:numPr>
          <w:ilvl w:val="1"/>
          <w:numId w:val="8"/>
        </w:numPr>
      </w:pPr>
      <w:r>
        <w:t>Zamawiający musi mieć możliwość realizacji dostępu do serwisu poprzez sieć Internet.</w:t>
      </w:r>
    </w:p>
    <w:p w14:paraId="1D6623A3" w14:textId="77777777" w:rsidR="00833E94" w:rsidRDefault="00833E94" w:rsidP="00833E94">
      <w:pPr>
        <w:pStyle w:val="Akapitzlist"/>
        <w:numPr>
          <w:ilvl w:val="1"/>
          <w:numId w:val="8"/>
        </w:numPr>
      </w:pPr>
      <w:r>
        <w:lastRenderedPageBreak/>
        <w:t>W ramach korzystania z usługi Zamawiający musi mieć nadane co najmniej uprawnienia do odczytu.</w:t>
      </w:r>
    </w:p>
    <w:p w14:paraId="7271DF2E" w14:textId="77777777" w:rsidR="00833E94" w:rsidRDefault="00833E94" w:rsidP="00833E94">
      <w:pPr>
        <w:pStyle w:val="Akapitzlist"/>
        <w:numPr>
          <w:ilvl w:val="1"/>
          <w:numId w:val="8"/>
        </w:numPr>
      </w:pPr>
      <w:r>
        <w:t xml:space="preserve">Dostęp do serwisu musi być zabezpieczony w oparciu o technologię </w:t>
      </w:r>
      <w:proofErr w:type="spellStart"/>
      <w:r>
        <w:t>IPsec</w:t>
      </w:r>
      <w:proofErr w:type="spellEnd"/>
      <w:r>
        <w:t>.</w:t>
      </w:r>
    </w:p>
    <w:p w14:paraId="158BE60B" w14:textId="77777777" w:rsidR="00833E94" w:rsidRDefault="00833E94" w:rsidP="00833E94">
      <w:pPr>
        <w:pStyle w:val="Akapitzlist"/>
        <w:numPr>
          <w:ilvl w:val="1"/>
          <w:numId w:val="8"/>
        </w:numPr>
      </w:pPr>
      <w:r>
        <w:t>W ramach funkcjonalności serwisu Zamawiający będzie mógł co najmniej:</w:t>
      </w:r>
    </w:p>
    <w:p w14:paraId="3304F110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>Tworzyć raporty i przeglądać statystyki z analizy ruchu sieciowego.</w:t>
      </w:r>
    </w:p>
    <w:p w14:paraId="5FA0CE13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 xml:space="preserve">Generować i pobierać raporty w formacie pdf i </w:t>
      </w:r>
      <w:proofErr w:type="spellStart"/>
      <w:r>
        <w:t>xml</w:t>
      </w:r>
      <w:proofErr w:type="spellEnd"/>
      <w:r>
        <w:t>.</w:t>
      </w:r>
    </w:p>
    <w:p w14:paraId="370E91E2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>Wysyłać raporty na wskazany adres email.</w:t>
      </w:r>
    </w:p>
    <w:p w14:paraId="44FF62EB" w14:textId="77777777" w:rsidR="00833E94" w:rsidRDefault="00833E94" w:rsidP="00F33A8E">
      <w:pPr>
        <w:pStyle w:val="Nagwek3"/>
        <w:numPr>
          <w:ilvl w:val="0"/>
          <w:numId w:val="8"/>
        </w:numPr>
      </w:pPr>
      <w:r>
        <w:t>Wdrożenie usługi.</w:t>
      </w:r>
    </w:p>
    <w:p w14:paraId="1482A6B8" w14:textId="77777777" w:rsidR="00833E94" w:rsidRDefault="00833E94" w:rsidP="00833E94">
      <w:pPr>
        <w:pStyle w:val="Akapitzlist"/>
        <w:numPr>
          <w:ilvl w:val="1"/>
          <w:numId w:val="8"/>
        </w:numPr>
      </w:pPr>
      <w:r>
        <w:t>W ramach Projektu Wykonawczego Wykonawca we współpracy z Zamawiającym uzgodni co najmniej następujące szczegóły techniczne:</w:t>
      </w:r>
    </w:p>
    <w:p w14:paraId="7342900C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>O</w:t>
      </w:r>
      <w:r w:rsidRPr="00CA38E3">
        <w:t xml:space="preserve">pis techniczny integracji usługi z siecią Klienta, </w:t>
      </w:r>
    </w:p>
    <w:p w14:paraId="5B9D06D5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>O</w:t>
      </w:r>
      <w:r w:rsidRPr="00CA38E3">
        <w:t xml:space="preserve">pis procedur powiadamiania i eskalacji, </w:t>
      </w:r>
    </w:p>
    <w:p w14:paraId="321BF791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>T</w:t>
      </w:r>
      <w:r w:rsidRPr="00CA38E3">
        <w:t xml:space="preserve">esty akceptacyjne, </w:t>
      </w:r>
    </w:p>
    <w:p w14:paraId="75F53583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>O</w:t>
      </w:r>
      <w:r w:rsidRPr="00CA38E3">
        <w:t xml:space="preserve">pis procedur obsługi zgłoszeń i raportowania. </w:t>
      </w:r>
    </w:p>
    <w:p w14:paraId="5B12D980" w14:textId="77777777" w:rsidR="00833E94" w:rsidRDefault="00833E94" w:rsidP="00833E94">
      <w:pPr>
        <w:pStyle w:val="Akapitzlist"/>
        <w:numPr>
          <w:ilvl w:val="1"/>
          <w:numId w:val="8"/>
        </w:numPr>
      </w:pPr>
      <w:r w:rsidRPr="00CA38E3">
        <w:t xml:space="preserve">Proces tworzenia dokumentu zostaje zakończony z chwilą </w:t>
      </w:r>
      <w:r>
        <w:t>akceptacji przez Zamawiającego.</w:t>
      </w:r>
    </w:p>
    <w:p w14:paraId="7D2EE787" w14:textId="77777777" w:rsidR="00833E94" w:rsidRDefault="00833E94" w:rsidP="00833E94">
      <w:pPr>
        <w:pStyle w:val="Akapitzlist"/>
        <w:numPr>
          <w:ilvl w:val="1"/>
          <w:numId w:val="8"/>
        </w:numPr>
      </w:pPr>
      <w:r>
        <w:t xml:space="preserve">W ramach implementacji usługi Wykonawca dokona rekonfiguracji swoich urządzeń sieciowych oraz skonfiguruje usługę przeciwdziałania atakom </w:t>
      </w:r>
      <w:proofErr w:type="spellStart"/>
      <w:r>
        <w:t>DDoS</w:t>
      </w:r>
      <w:proofErr w:type="spellEnd"/>
      <w:r>
        <w:t xml:space="preserve"> zgodnie z wymaganiami Zamawiającego określonymi Projektem Wykonawczym. </w:t>
      </w:r>
    </w:p>
    <w:p w14:paraId="0B7512B1" w14:textId="77777777" w:rsidR="00833E94" w:rsidRDefault="00833E94" w:rsidP="00833E94">
      <w:pPr>
        <w:pStyle w:val="Akapitzlist"/>
        <w:numPr>
          <w:ilvl w:val="1"/>
          <w:numId w:val="8"/>
        </w:numPr>
      </w:pPr>
      <w:r>
        <w:t xml:space="preserve">Po zakończeniu implementacji usługi – w celu potwierdzenia, że dotychczasowa funkcjonalność sieci Zamawiającego nie została utracona – Wykonawca z udziałem Zamawiającego przeprowadzą testy funkcjonalne usługi przeciwdziałania atakom </w:t>
      </w:r>
      <w:proofErr w:type="spellStart"/>
      <w:r>
        <w:t>DDoS</w:t>
      </w:r>
      <w:proofErr w:type="spellEnd"/>
      <w:r>
        <w:t xml:space="preserve"> (testy akceptacyjne).</w:t>
      </w:r>
    </w:p>
    <w:p w14:paraId="255AD277" w14:textId="77777777" w:rsidR="00833E94" w:rsidRDefault="00833E94" w:rsidP="00833E94">
      <w:pPr>
        <w:pStyle w:val="Akapitzlist"/>
        <w:numPr>
          <w:ilvl w:val="1"/>
          <w:numId w:val="8"/>
        </w:numPr>
      </w:pPr>
      <w:r>
        <w:t>W ramach testów akceptacyjnych musi zostać sprawdzona:</w:t>
      </w:r>
    </w:p>
    <w:p w14:paraId="2848E19E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>Poprawność routingu z i do Wykonawcy.</w:t>
      </w:r>
    </w:p>
    <w:p w14:paraId="0F0441B1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>Poprawność re-routingu BGP.</w:t>
      </w:r>
    </w:p>
    <w:p w14:paraId="3158EE3B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 xml:space="preserve">Działanie mechanizmów BGP </w:t>
      </w:r>
      <w:proofErr w:type="spellStart"/>
      <w:r>
        <w:t>Flowspec</w:t>
      </w:r>
      <w:proofErr w:type="spellEnd"/>
      <w:r>
        <w:t>.</w:t>
      </w:r>
    </w:p>
    <w:p w14:paraId="3BB8197D" w14:textId="77777777" w:rsidR="00833E94" w:rsidRDefault="00833E94" w:rsidP="00833E94">
      <w:pPr>
        <w:pStyle w:val="Akapitzlist"/>
        <w:numPr>
          <w:ilvl w:val="1"/>
          <w:numId w:val="8"/>
        </w:numPr>
      </w:pPr>
      <w:r>
        <w:t xml:space="preserve">Po </w:t>
      </w:r>
      <w:r w:rsidRPr="009C5346">
        <w:t xml:space="preserve">zakończeniu testów akceptacyjnych. </w:t>
      </w:r>
      <w:r>
        <w:t>Wykonawca przedstawia Zamawiającemu do akceptacji d</w:t>
      </w:r>
      <w:r w:rsidRPr="009C5346">
        <w:t>okumentacj</w:t>
      </w:r>
      <w:r>
        <w:t>ę</w:t>
      </w:r>
      <w:r w:rsidRPr="009C5346">
        <w:t>, zawierając</w:t>
      </w:r>
      <w:r>
        <w:t>ą, co najmniej:</w:t>
      </w:r>
    </w:p>
    <w:p w14:paraId="20B691E6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>P</w:t>
      </w:r>
      <w:r w:rsidRPr="009C5346">
        <w:t xml:space="preserve">rocedury operacyjne odnoszące się do inicjalizacji i zakończenia obsługi incydentu ataku </w:t>
      </w:r>
      <w:proofErr w:type="spellStart"/>
      <w:r w:rsidRPr="009C5346">
        <w:t>DDoS</w:t>
      </w:r>
      <w:proofErr w:type="spellEnd"/>
      <w:r w:rsidRPr="009C5346">
        <w:t xml:space="preserve">. </w:t>
      </w:r>
    </w:p>
    <w:p w14:paraId="1707F4F5" w14:textId="77777777" w:rsidR="00833E94" w:rsidRDefault="00833E94" w:rsidP="00833E94">
      <w:pPr>
        <w:pStyle w:val="Akapitzlist"/>
        <w:numPr>
          <w:ilvl w:val="2"/>
          <w:numId w:val="8"/>
        </w:numPr>
      </w:pPr>
      <w:r>
        <w:t>S</w:t>
      </w:r>
      <w:r w:rsidRPr="009C5346">
        <w:t xml:space="preserve">zczegóły techniczne chronionych sieci i usług Klienta. </w:t>
      </w:r>
    </w:p>
    <w:p w14:paraId="274D0AA9" w14:textId="77777777" w:rsidR="00833E94" w:rsidRPr="00CA38E3" w:rsidRDefault="00833E94" w:rsidP="00833E94">
      <w:pPr>
        <w:pStyle w:val="Akapitzlist"/>
        <w:numPr>
          <w:ilvl w:val="2"/>
          <w:numId w:val="8"/>
        </w:numPr>
      </w:pPr>
      <w:r>
        <w:t>Udokumentowaną p</w:t>
      </w:r>
      <w:r w:rsidRPr="009C5346">
        <w:t>rocedurę wdrażania zmian funkcjonalnych w zakresie sieci i usług Klienta, które mają wpływ na szczegółową konfigurację usługi.</w:t>
      </w:r>
    </w:p>
    <w:p w14:paraId="67C68DEC" w14:textId="77777777" w:rsidR="00833E94" w:rsidRPr="00833E94" w:rsidRDefault="00833E94" w:rsidP="00833E94"/>
    <w:sectPr w:rsidR="00833E94" w:rsidRPr="00833E94" w:rsidSect="00F9281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300A6" w14:textId="77777777" w:rsidR="00FC2A46" w:rsidRDefault="00FC2A46" w:rsidP="008E2BA1">
      <w:pPr>
        <w:spacing w:after="0" w:line="240" w:lineRule="auto"/>
      </w:pPr>
      <w:r>
        <w:separator/>
      </w:r>
    </w:p>
  </w:endnote>
  <w:endnote w:type="continuationSeparator" w:id="0">
    <w:p w14:paraId="4FA2FC90" w14:textId="77777777" w:rsidR="00FC2A46" w:rsidRDefault="00FC2A46" w:rsidP="008E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069D" w14:textId="77777777" w:rsidR="008E2BA1" w:rsidRDefault="003D4572">
    <w:pPr>
      <w:pStyle w:val="Stopka"/>
      <w:jc w:val="right"/>
    </w:pPr>
    <w:sdt>
      <w:sdtPr>
        <w:rPr>
          <w:rFonts w:ascii="Times New Roman" w:hAnsi="Times New Roman" w:cs="Times New Roman"/>
          <w:sz w:val="20"/>
        </w:rPr>
        <w:id w:val="15887283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24"/>
        </w:rPr>
      </w:sdtEndPr>
      <w:sdtContent>
        <w:r w:rsidR="0016529B" w:rsidRPr="008E2BA1">
          <w:rPr>
            <w:rFonts w:ascii="Times New Roman" w:hAnsi="Times New Roman" w:cs="Times New Roman"/>
            <w:sz w:val="20"/>
          </w:rPr>
          <w:fldChar w:fldCharType="begin"/>
        </w:r>
        <w:r w:rsidR="008E2BA1" w:rsidRPr="008E2BA1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="0016529B" w:rsidRPr="008E2BA1">
          <w:rPr>
            <w:rFonts w:ascii="Times New Roman" w:hAnsi="Times New Roman" w:cs="Times New Roman"/>
            <w:sz w:val="20"/>
          </w:rPr>
          <w:fldChar w:fldCharType="separate"/>
        </w:r>
        <w:r w:rsidR="0018650D">
          <w:rPr>
            <w:rFonts w:ascii="Times New Roman" w:hAnsi="Times New Roman" w:cs="Times New Roman"/>
            <w:noProof/>
            <w:sz w:val="20"/>
          </w:rPr>
          <w:t>1</w:t>
        </w:r>
        <w:r w:rsidR="0016529B" w:rsidRPr="008E2BA1">
          <w:rPr>
            <w:rFonts w:ascii="Times New Roman" w:hAnsi="Times New Roman" w:cs="Times New Roman"/>
            <w:sz w:val="20"/>
          </w:rPr>
          <w:fldChar w:fldCharType="end"/>
        </w:r>
      </w:sdtContent>
    </w:sdt>
  </w:p>
  <w:p w14:paraId="05BC886F" w14:textId="77777777" w:rsidR="008E2BA1" w:rsidRDefault="008E2BA1" w:rsidP="008E2BA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7733" w14:textId="77777777" w:rsidR="00FC2A46" w:rsidRDefault="00FC2A46" w:rsidP="008E2BA1">
      <w:pPr>
        <w:spacing w:after="0" w:line="240" w:lineRule="auto"/>
      </w:pPr>
      <w:r>
        <w:separator/>
      </w:r>
    </w:p>
  </w:footnote>
  <w:footnote w:type="continuationSeparator" w:id="0">
    <w:p w14:paraId="6B4CE1AD" w14:textId="77777777" w:rsidR="00FC2A46" w:rsidRDefault="00FC2A46" w:rsidP="008E2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4711" w14:textId="7D372F34" w:rsidR="008E2BA1" w:rsidRDefault="008E2BA1" w:rsidP="008E2BA1">
    <w:pPr>
      <w:pStyle w:val="Nagwek"/>
      <w:jc w:val="right"/>
      <w:rPr>
        <w:rFonts w:cstheme="minorHAnsi"/>
        <w:szCs w:val="24"/>
      </w:rPr>
    </w:pPr>
    <w:r w:rsidRPr="00FB2A54">
      <w:rPr>
        <w:rFonts w:cstheme="minorHAnsi"/>
        <w:szCs w:val="24"/>
      </w:rPr>
      <w:t>Załącznik 1 do Umowy</w:t>
    </w:r>
    <w:r w:rsidR="00F92815" w:rsidRPr="00FB2A54">
      <w:rPr>
        <w:rFonts w:cstheme="minorHAnsi"/>
        <w:szCs w:val="24"/>
      </w:rPr>
      <w:t xml:space="preserve"> WI1.374.</w:t>
    </w:r>
    <w:r w:rsidR="00FB2A54" w:rsidRPr="00FB2A54">
      <w:rPr>
        <w:rFonts w:cstheme="minorHAnsi"/>
        <w:szCs w:val="24"/>
      </w:rPr>
      <w:t>4</w:t>
    </w:r>
    <w:r w:rsidR="003D4572">
      <w:rPr>
        <w:rFonts w:cstheme="minorHAnsi"/>
        <w:szCs w:val="24"/>
      </w:rPr>
      <w:t>6</w:t>
    </w:r>
    <w:r w:rsidR="00F92815" w:rsidRPr="00FB2A54">
      <w:rPr>
        <w:rFonts w:cstheme="minorHAnsi"/>
        <w:szCs w:val="24"/>
      </w:rPr>
      <w:t>.202</w:t>
    </w:r>
    <w:r w:rsidR="003D4572">
      <w:rPr>
        <w:rFonts w:cstheme="minorHAnsi"/>
        <w:szCs w:val="24"/>
      </w:rPr>
      <w:t>5</w:t>
    </w:r>
    <w:r w:rsidR="00F92815" w:rsidRPr="00FB2A54">
      <w:rPr>
        <w:rFonts w:cstheme="minorHAnsi"/>
        <w:szCs w:val="24"/>
      </w:rPr>
      <w:t>.MC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72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DB40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576E9D"/>
    <w:multiLevelType w:val="multilevel"/>
    <w:tmpl w:val="D13ED5E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B52D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AD1929"/>
    <w:multiLevelType w:val="multilevel"/>
    <w:tmpl w:val="D13ED5E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171B96"/>
    <w:multiLevelType w:val="multilevel"/>
    <w:tmpl w:val="D13ED5E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FD22B9B"/>
    <w:multiLevelType w:val="multilevel"/>
    <w:tmpl w:val="D13ED5E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0485314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47E7210E"/>
    <w:multiLevelType w:val="multilevel"/>
    <w:tmpl w:val="D13ED5E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D705A4"/>
    <w:multiLevelType w:val="multilevel"/>
    <w:tmpl w:val="26F61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4264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8EA3F68"/>
    <w:multiLevelType w:val="multilevel"/>
    <w:tmpl w:val="D13ED5E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F377D46"/>
    <w:multiLevelType w:val="multilevel"/>
    <w:tmpl w:val="E452B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12" w15:restartNumberingAfterBreak="0">
    <w:nsid w:val="632B28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6274084"/>
    <w:multiLevelType w:val="multilevel"/>
    <w:tmpl w:val="D13ED5E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F40C61"/>
    <w:multiLevelType w:val="hybridMultilevel"/>
    <w:tmpl w:val="1AAE0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566892">
    <w:abstractNumId w:val="9"/>
  </w:num>
  <w:num w:numId="2" w16cid:durableId="1331253975">
    <w:abstractNumId w:val="11"/>
  </w:num>
  <w:num w:numId="3" w16cid:durableId="1080981097">
    <w:abstractNumId w:val="7"/>
  </w:num>
  <w:num w:numId="4" w16cid:durableId="1598711721">
    <w:abstractNumId w:val="1"/>
  </w:num>
  <w:num w:numId="5" w16cid:durableId="1196508025">
    <w:abstractNumId w:val="3"/>
  </w:num>
  <w:num w:numId="6" w16cid:durableId="4016839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2026680">
    <w:abstractNumId w:val="14"/>
  </w:num>
  <w:num w:numId="8" w16cid:durableId="916747658">
    <w:abstractNumId w:val="5"/>
  </w:num>
  <w:num w:numId="9" w16cid:durableId="1068458480">
    <w:abstractNumId w:val="0"/>
  </w:num>
  <w:num w:numId="10" w16cid:durableId="1496069674">
    <w:abstractNumId w:val="2"/>
  </w:num>
  <w:num w:numId="11" w16cid:durableId="253974545">
    <w:abstractNumId w:val="10"/>
  </w:num>
  <w:num w:numId="12" w16cid:durableId="1191066516">
    <w:abstractNumId w:val="13"/>
  </w:num>
  <w:num w:numId="13" w16cid:durableId="960918056">
    <w:abstractNumId w:val="4"/>
  </w:num>
  <w:num w:numId="14" w16cid:durableId="1114330138">
    <w:abstractNumId w:val="6"/>
  </w:num>
  <w:num w:numId="15" w16cid:durableId="5530844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A1"/>
    <w:rsid w:val="0000409B"/>
    <w:rsid w:val="00087665"/>
    <w:rsid w:val="00163CB4"/>
    <w:rsid w:val="0016529B"/>
    <w:rsid w:val="00185899"/>
    <w:rsid w:val="0018650D"/>
    <w:rsid w:val="001C3BF7"/>
    <w:rsid w:val="0026634C"/>
    <w:rsid w:val="00277C10"/>
    <w:rsid w:val="002C0C86"/>
    <w:rsid w:val="002F4C57"/>
    <w:rsid w:val="003D4572"/>
    <w:rsid w:val="004255DB"/>
    <w:rsid w:val="00477123"/>
    <w:rsid w:val="004846B6"/>
    <w:rsid w:val="00500F76"/>
    <w:rsid w:val="00517644"/>
    <w:rsid w:val="00525B4E"/>
    <w:rsid w:val="00637AD6"/>
    <w:rsid w:val="007B30A0"/>
    <w:rsid w:val="007C0B05"/>
    <w:rsid w:val="007D311E"/>
    <w:rsid w:val="00833E94"/>
    <w:rsid w:val="008E2BA1"/>
    <w:rsid w:val="00935659"/>
    <w:rsid w:val="009438F4"/>
    <w:rsid w:val="00957917"/>
    <w:rsid w:val="009E3234"/>
    <w:rsid w:val="009E52AD"/>
    <w:rsid w:val="00A16378"/>
    <w:rsid w:val="00A375A2"/>
    <w:rsid w:val="00AE07D8"/>
    <w:rsid w:val="00B057B6"/>
    <w:rsid w:val="00BE6F15"/>
    <w:rsid w:val="00C43089"/>
    <w:rsid w:val="00C93E52"/>
    <w:rsid w:val="00D40E2C"/>
    <w:rsid w:val="00DB681F"/>
    <w:rsid w:val="00E51766"/>
    <w:rsid w:val="00F33A8E"/>
    <w:rsid w:val="00F34B59"/>
    <w:rsid w:val="00F82C58"/>
    <w:rsid w:val="00F92815"/>
    <w:rsid w:val="00FB2A54"/>
    <w:rsid w:val="00FC2A46"/>
    <w:rsid w:val="00FC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1A1B6C"/>
  <w15:docId w15:val="{3D69BBDE-0C73-49AB-8EDA-6B836D80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815"/>
    <w:pPr>
      <w:spacing w:after="120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2815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123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3A8E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BA1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E2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BA1"/>
  </w:style>
  <w:style w:type="paragraph" w:styleId="Stopka">
    <w:name w:val="footer"/>
    <w:basedOn w:val="Normalny"/>
    <w:link w:val="StopkaZnak"/>
    <w:uiPriority w:val="99"/>
    <w:unhideWhenUsed/>
    <w:rsid w:val="008E2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BA1"/>
  </w:style>
  <w:style w:type="character" w:customStyle="1" w:styleId="Nagwek1Znak">
    <w:name w:val="Nagłówek 1 Znak"/>
    <w:basedOn w:val="Domylnaczcionkaakapitu"/>
    <w:link w:val="Nagwek1"/>
    <w:uiPriority w:val="9"/>
    <w:rsid w:val="00F928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yle4">
    <w:name w:val="Style 4"/>
    <w:uiPriority w:val="99"/>
    <w:rsid w:val="004771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771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33A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2F77F-C735-4618-8B77-B10C483D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1759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2021_43_374_WI1_SOPZ_lacze_symetryczne</vt:lpstr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2025_46_374_WI1_SOPZ_lacze_symetryczne</dc:title>
  <dc:subject/>
  <dc:creator>Michal MH. Holubowski</dc:creator>
  <cp:keywords/>
  <dc:description/>
  <cp:lastModifiedBy>Michał Cudziło</cp:lastModifiedBy>
  <cp:revision>30</cp:revision>
  <cp:lastPrinted>2015-07-08T05:20:00Z</cp:lastPrinted>
  <dcterms:created xsi:type="dcterms:W3CDTF">2011-09-22T11:11:00Z</dcterms:created>
  <dcterms:modified xsi:type="dcterms:W3CDTF">2025-09-23T06:44:00Z</dcterms:modified>
</cp:coreProperties>
</file>