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2974" w14:textId="77777777" w:rsidR="00FE6090" w:rsidRDefault="00FE6090" w:rsidP="00FE6090">
      <w:pPr>
        <w:jc w:val="both"/>
      </w:pPr>
    </w:p>
    <w:p w14:paraId="6FCF945F" w14:textId="60F59262" w:rsidR="0037468A" w:rsidRPr="00AF71F5" w:rsidRDefault="0037468A" w:rsidP="0037468A">
      <w:pPr>
        <w:jc w:val="right"/>
        <w:rPr>
          <w:sz w:val="26"/>
          <w:szCs w:val="26"/>
        </w:rPr>
      </w:pPr>
      <w:r w:rsidRPr="00AF71F5">
        <w:rPr>
          <w:sz w:val="26"/>
          <w:szCs w:val="26"/>
        </w:rPr>
        <w:t xml:space="preserve">Gdynia, </w:t>
      </w:r>
      <w:r w:rsidR="0029028E" w:rsidRPr="00AF71F5">
        <w:rPr>
          <w:sz w:val="26"/>
          <w:szCs w:val="26"/>
        </w:rPr>
        <w:t>22</w:t>
      </w:r>
      <w:r w:rsidRPr="00AF71F5">
        <w:rPr>
          <w:sz w:val="26"/>
          <w:szCs w:val="26"/>
        </w:rPr>
        <w:t xml:space="preserve">.05.2023 r. </w:t>
      </w:r>
    </w:p>
    <w:p w14:paraId="74F22120" w14:textId="77777777" w:rsidR="0037468A" w:rsidRDefault="0037468A" w:rsidP="00FE6090">
      <w:pPr>
        <w:jc w:val="both"/>
      </w:pPr>
    </w:p>
    <w:p w14:paraId="64EE8FE8" w14:textId="77777777" w:rsidR="00AF71F5" w:rsidRDefault="00AF71F5" w:rsidP="00FE6090">
      <w:pPr>
        <w:jc w:val="both"/>
      </w:pPr>
    </w:p>
    <w:p w14:paraId="6C455B23" w14:textId="77777777" w:rsidR="0037468A" w:rsidRDefault="0037468A" w:rsidP="00FE6090">
      <w:pPr>
        <w:jc w:val="both"/>
      </w:pPr>
    </w:p>
    <w:p w14:paraId="1B7C1BC8" w14:textId="77777777" w:rsidR="00AF71F5" w:rsidRDefault="00FE6090" w:rsidP="00FE6090">
      <w:pPr>
        <w:jc w:val="center"/>
        <w:rPr>
          <w:b/>
          <w:sz w:val="28"/>
          <w:szCs w:val="28"/>
        </w:rPr>
      </w:pPr>
      <w:r w:rsidRPr="0062763F">
        <w:rPr>
          <w:b/>
          <w:sz w:val="28"/>
          <w:szCs w:val="28"/>
        </w:rPr>
        <w:t xml:space="preserve">Sprawozdanie </w:t>
      </w:r>
    </w:p>
    <w:p w14:paraId="2B99B513" w14:textId="77777777" w:rsidR="00AF71F5" w:rsidRDefault="00FE6090" w:rsidP="00FE6090">
      <w:pPr>
        <w:jc w:val="center"/>
        <w:rPr>
          <w:b/>
          <w:sz w:val="28"/>
          <w:szCs w:val="28"/>
        </w:rPr>
      </w:pPr>
      <w:r w:rsidRPr="0062763F">
        <w:rPr>
          <w:b/>
          <w:sz w:val="28"/>
          <w:szCs w:val="28"/>
        </w:rPr>
        <w:t xml:space="preserve">Dyrektora Urzędu Morskiego w Gdyni </w:t>
      </w:r>
    </w:p>
    <w:p w14:paraId="009162A4" w14:textId="77777777" w:rsidR="00AF71F5" w:rsidRDefault="00FE6090" w:rsidP="00FE6090">
      <w:pPr>
        <w:jc w:val="center"/>
        <w:rPr>
          <w:b/>
          <w:sz w:val="28"/>
          <w:szCs w:val="28"/>
        </w:rPr>
      </w:pPr>
      <w:r w:rsidRPr="0062763F">
        <w:rPr>
          <w:b/>
          <w:sz w:val="28"/>
          <w:szCs w:val="28"/>
        </w:rPr>
        <w:t xml:space="preserve">z funkcjonowania rozporządzenia (UE) nr 1177/2010 </w:t>
      </w:r>
    </w:p>
    <w:p w14:paraId="428A1D05" w14:textId="42C4522D" w:rsidR="00FE6090" w:rsidRPr="0062763F" w:rsidRDefault="00FE6090" w:rsidP="00FE6090">
      <w:pPr>
        <w:jc w:val="center"/>
        <w:rPr>
          <w:b/>
          <w:sz w:val="28"/>
          <w:szCs w:val="28"/>
        </w:rPr>
      </w:pPr>
      <w:r w:rsidRPr="0062763F">
        <w:rPr>
          <w:b/>
          <w:sz w:val="28"/>
          <w:szCs w:val="28"/>
        </w:rPr>
        <w:t>obejmującego lata 2021 oraz 2022</w:t>
      </w:r>
    </w:p>
    <w:p w14:paraId="1D03A051" w14:textId="77777777" w:rsidR="00AF71F5" w:rsidRDefault="00AF71F5" w:rsidP="00AF71F5">
      <w:pPr>
        <w:rPr>
          <w:b/>
        </w:rPr>
      </w:pPr>
    </w:p>
    <w:p w14:paraId="2CB281F3" w14:textId="77777777" w:rsidR="0037468A" w:rsidRPr="00253DE4" w:rsidRDefault="0037468A" w:rsidP="00FE6090">
      <w:pPr>
        <w:jc w:val="center"/>
        <w:rPr>
          <w:b/>
        </w:rPr>
      </w:pPr>
    </w:p>
    <w:p w14:paraId="4BD48225" w14:textId="77777777" w:rsidR="00FE6090" w:rsidRPr="00AF71F5" w:rsidRDefault="00FE6090" w:rsidP="00FE6090">
      <w:pPr>
        <w:numPr>
          <w:ilvl w:val="0"/>
          <w:numId w:val="47"/>
        </w:numPr>
        <w:jc w:val="both"/>
        <w:rPr>
          <w:b/>
          <w:bCs/>
          <w:sz w:val="26"/>
          <w:szCs w:val="26"/>
        </w:rPr>
      </w:pPr>
      <w:r w:rsidRPr="00AF71F5">
        <w:rPr>
          <w:b/>
          <w:bCs/>
          <w:sz w:val="26"/>
          <w:szCs w:val="26"/>
        </w:rPr>
        <w:t xml:space="preserve">Informacja na temat funkcjonowania systemu praw pasażerów podróżujących drogą morską </w:t>
      </w:r>
    </w:p>
    <w:p w14:paraId="329198C3" w14:textId="77777777" w:rsidR="00FE6090" w:rsidRPr="00AF71F5" w:rsidRDefault="00FE6090" w:rsidP="00FE6090">
      <w:pPr>
        <w:ind w:left="1080"/>
        <w:jc w:val="both"/>
        <w:rPr>
          <w:sz w:val="26"/>
          <w:szCs w:val="26"/>
        </w:rPr>
      </w:pPr>
    </w:p>
    <w:p w14:paraId="169E4A15" w14:textId="5AF46DD4" w:rsidR="00FE6090" w:rsidRPr="00AF71F5" w:rsidRDefault="00FE6090" w:rsidP="00FE6090">
      <w:pPr>
        <w:jc w:val="both"/>
        <w:rPr>
          <w:sz w:val="26"/>
          <w:szCs w:val="26"/>
        </w:rPr>
      </w:pPr>
      <w:r w:rsidRPr="00AF71F5">
        <w:rPr>
          <w:sz w:val="26"/>
          <w:szCs w:val="26"/>
        </w:rPr>
        <w:t>Począwszy od roku 2013 dyrektorzy urzędów morskich wykonują zadania organu krajowego,</w:t>
      </w:r>
      <w:r w:rsidR="00BB3017">
        <w:rPr>
          <w:sz w:val="26"/>
          <w:szCs w:val="26"/>
        </w:rPr>
        <w:t xml:space="preserve"> </w:t>
      </w:r>
      <w:r w:rsidRPr="00AF71F5">
        <w:rPr>
          <w:sz w:val="26"/>
          <w:szCs w:val="26"/>
        </w:rPr>
        <w:t xml:space="preserve">o którym mowa w rozporządzeniu Parlamentu Europejskiego i Rady (UE) nr 1177/2010 z dnia 24 listopada 2010 r. o prawach pasażerów podróżujących drogą morską i drogą wodną śródlądową oraz zmieniającego rozporządzenie (WE) nr 2006/2004 (Dz. Urz. UE L 334 z 17.12.2010, str. 1, z </w:t>
      </w:r>
      <w:proofErr w:type="spellStart"/>
      <w:r w:rsidRPr="00AF71F5">
        <w:rPr>
          <w:sz w:val="26"/>
          <w:szCs w:val="26"/>
        </w:rPr>
        <w:t>późn</w:t>
      </w:r>
      <w:proofErr w:type="spellEnd"/>
      <w:r w:rsidRPr="00AF71F5">
        <w:rPr>
          <w:sz w:val="26"/>
          <w:szCs w:val="26"/>
        </w:rPr>
        <w:t>. zm.), dalej: „rozporządzenie nr 1177/2010”, w zakresie usług przewozu drogą morską</w:t>
      </w:r>
      <w:r w:rsidRPr="00AF71F5">
        <w:rPr>
          <w:rStyle w:val="Odwoanieprzypisudolnego"/>
          <w:sz w:val="26"/>
          <w:szCs w:val="26"/>
        </w:rPr>
        <w:footnoteReference w:id="1"/>
      </w:r>
      <w:r w:rsidRPr="00AF71F5">
        <w:rPr>
          <w:sz w:val="26"/>
          <w:szCs w:val="26"/>
        </w:rPr>
        <w:t xml:space="preserve">. Poza dyrektorami urzędów morskich obowiązki krajowego organu, w zakresie praw pasażerów podróżujących drogą wodną śródlądową, pełni Dyrektor Urzędu Żeglugi Śródlądowej w Szczecinie. </w:t>
      </w:r>
    </w:p>
    <w:p w14:paraId="518CC7EB" w14:textId="77777777" w:rsidR="00FE6090" w:rsidRPr="00AF71F5" w:rsidRDefault="00FE6090" w:rsidP="00FE6090">
      <w:pPr>
        <w:jc w:val="both"/>
        <w:rPr>
          <w:sz w:val="26"/>
          <w:szCs w:val="26"/>
        </w:rPr>
      </w:pPr>
    </w:p>
    <w:p w14:paraId="20DE565E" w14:textId="77777777" w:rsidR="00FE6090" w:rsidRPr="00AF71F5" w:rsidRDefault="00FE6090" w:rsidP="00FE6090">
      <w:pPr>
        <w:jc w:val="both"/>
        <w:rPr>
          <w:sz w:val="26"/>
          <w:szCs w:val="26"/>
        </w:rPr>
      </w:pPr>
      <w:r w:rsidRPr="00AF71F5">
        <w:rPr>
          <w:sz w:val="26"/>
          <w:szCs w:val="26"/>
        </w:rPr>
        <w:t>Dyrektor Urzędu Morskiego w Gdyni oraz Dyrektor Urzędu Morskiego w Szczecinie są organami właściwymi do rozpatrywania skarg pasażerów, zgodnie z rozporządzeniem Ministra Transportu, Budownictwa i Gospodarki Morskiej z dnia 10 września 2013 r. w sprawie określenia dyrektora urzędu morskiego właściwego do rozpatrywania skarg w sprawie naruszeń praw pasażerów podróżujących drogą morską</w:t>
      </w:r>
      <w:r w:rsidRPr="00AF71F5">
        <w:rPr>
          <w:rStyle w:val="Odwoanieprzypisudolnego"/>
          <w:sz w:val="26"/>
          <w:szCs w:val="26"/>
        </w:rPr>
        <w:footnoteReference w:id="2"/>
      </w:r>
      <w:r w:rsidRPr="00AF71F5">
        <w:rPr>
          <w:sz w:val="26"/>
          <w:szCs w:val="26"/>
        </w:rPr>
        <w:t xml:space="preserve">. </w:t>
      </w:r>
    </w:p>
    <w:p w14:paraId="0CA41F61" w14:textId="77777777" w:rsidR="00FE6090" w:rsidRPr="00AF71F5" w:rsidRDefault="00FE6090" w:rsidP="00FE6090">
      <w:pPr>
        <w:jc w:val="both"/>
        <w:rPr>
          <w:sz w:val="26"/>
          <w:szCs w:val="26"/>
        </w:rPr>
      </w:pPr>
    </w:p>
    <w:p w14:paraId="0F548DCE" w14:textId="6F4D7DC8" w:rsidR="00FE6090" w:rsidRPr="00AF71F5" w:rsidRDefault="00FE6090" w:rsidP="00FE6090">
      <w:pPr>
        <w:jc w:val="both"/>
        <w:rPr>
          <w:sz w:val="26"/>
          <w:szCs w:val="26"/>
        </w:rPr>
      </w:pPr>
      <w:r w:rsidRPr="00AF71F5">
        <w:rPr>
          <w:sz w:val="26"/>
          <w:szCs w:val="26"/>
        </w:rPr>
        <w:t>Dyrektorzy urzędów morskich są terenowymi organami administracji morskiej. Nadzór nad ich działalnością sprawuje minister właściwy do spraw gospodarki morskiej (obecnie Minister Infrastruktury), który jest naczelnym organem administracji morskiej. Działalność organów administracji morskiej związana jest przede wszystkim z zapewnieniem bezpieczeństwa żeglugi, ochrony środowiska morskiego, bezpieczeństwa i higieny pracy</w:t>
      </w:r>
      <w:r w:rsidR="0029028E" w:rsidRPr="00AF71F5">
        <w:rPr>
          <w:sz w:val="26"/>
          <w:szCs w:val="26"/>
        </w:rPr>
        <w:t xml:space="preserve">, </w:t>
      </w:r>
      <w:r w:rsidRPr="00AF71F5">
        <w:rPr>
          <w:sz w:val="26"/>
          <w:szCs w:val="26"/>
        </w:rPr>
        <w:t xml:space="preserve">warunków sanitarno-bytowych marynarzy na statkach, przeciwdziałaniem aktom terroru na statkach. </w:t>
      </w:r>
    </w:p>
    <w:p w14:paraId="39D0C8D7" w14:textId="77777777" w:rsidR="00FE6090" w:rsidRPr="00AF71F5" w:rsidRDefault="00FE6090" w:rsidP="00FE6090">
      <w:pPr>
        <w:jc w:val="both"/>
        <w:rPr>
          <w:sz w:val="26"/>
          <w:szCs w:val="26"/>
        </w:rPr>
      </w:pPr>
    </w:p>
    <w:p w14:paraId="19B5B201" w14:textId="4317E60A" w:rsidR="00FE6090" w:rsidRPr="00AF71F5" w:rsidRDefault="00FE6090" w:rsidP="00FE6090">
      <w:pPr>
        <w:jc w:val="both"/>
        <w:rPr>
          <w:sz w:val="26"/>
          <w:szCs w:val="26"/>
        </w:rPr>
      </w:pPr>
      <w:r w:rsidRPr="00AF71F5">
        <w:rPr>
          <w:sz w:val="26"/>
          <w:szCs w:val="26"/>
        </w:rPr>
        <w:t xml:space="preserve">Terytorialny zakres działania dyrektora Urzędu Morskiego w Gdyni – obejmuje morskie wody wewnętrzne, morze terytorialne, strefę przyległą, wyłączną strefę ekonomiczną, </w:t>
      </w:r>
      <w:r w:rsidRPr="00AF71F5">
        <w:rPr>
          <w:sz w:val="26"/>
          <w:szCs w:val="26"/>
        </w:rPr>
        <w:lastRenderedPageBreak/>
        <w:t>morskie porty i przystanie oraz pas nadbrzeżny od wschodniej granicy państwa do linii wyznaczonej, na obszarach morskich, przebiegiem południka 16°41′56,70″ długości geograficznej wschodniej, a następnie granicą województwa pomorskiego</w:t>
      </w:r>
      <w:r w:rsidR="0037468A" w:rsidRPr="00AF71F5">
        <w:rPr>
          <w:sz w:val="26"/>
          <w:szCs w:val="26"/>
        </w:rPr>
        <w:t xml:space="preserve"> </w:t>
      </w:r>
      <w:r w:rsidRPr="00AF71F5">
        <w:rPr>
          <w:sz w:val="26"/>
          <w:szCs w:val="26"/>
        </w:rPr>
        <w:t>i zachodniopomorskiego</w:t>
      </w:r>
      <w:r w:rsidRPr="00AF71F5">
        <w:rPr>
          <w:rStyle w:val="Odwoanieprzypisudolnego"/>
          <w:sz w:val="26"/>
          <w:szCs w:val="26"/>
        </w:rPr>
        <w:footnoteReference w:id="3"/>
      </w:r>
      <w:r w:rsidRPr="00AF71F5">
        <w:rPr>
          <w:sz w:val="26"/>
          <w:szCs w:val="26"/>
        </w:rPr>
        <w:t xml:space="preserve">. W terytorialnym zakresie działania Dyrektora Urzędu Morskiego w Gdyni leżą zatem dwa porty z dużym nasileniem ruchu pasażerskiego, a mianowicie Gdynia i Gdańsk. </w:t>
      </w:r>
    </w:p>
    <w:p w14:paraId="6A7A984B" w14:textId="77777777" w:rsidR="00FE6090" w:rsidRPr="00AF71F5" w:rsidRDefault="00FE6090" w:rsidP="00FE6090">
      <w:pPr>
        <w:jc w:val="both"/>
        <w:rPr>
          <w:sz w:val="26"/>
          <w:szCs w:val="26"/>
        </w:rPr>
      </w:pPr>
    </w:p>
    <w:p w14:paraId="7C315D78" w14:textId="06E0DC16" w:rsidR="00FE6090" w:rsidRPr="00AF71F5" w:rsidRDefault="00FE6090" w:rsidP="00FE6090">
      <w:pPr>
        <w:jc w:val="both"/>
        <w:rPr>
          <w:sz w:val="26"/>
          <w:szCs w:val="26"/>
        </w:rPr>
      </w:pPr>
      <w:r w:rsidRPr="00AF71F5">
        <w:rPr>
          <w:sz w:val="26"/>
          <w:szCs w:val="26"/>
        </w:rPr>
        <w:t>Dyrektor Urzędu Morskiego w Gdyni publikuje na swojej internetowej podstawowe informacje na temat funkcjonowania praw pasażerów, w tym informacje o sposobie złożenia skargi, a także informacje na temat praw pasażerów w Europie, poprzez odesłanie do portalu Twoja Europa</w:t>
      </w:r>
      <w:r w:rsidRPr="00AF71F5">
        <w:rPr>
          <w:rStyle w:val="Odwoanieprzypisudolnego"/>
          <w:sz w:val="26"/>
          <w:szCs w:val="26"/>
        </w:rPr>
        <w:footnoteReference w:id="4"/>
      </w:r>
      <w:r w:rsidRPr="00AF71F5">
        <w:rPr>
          <w:sz w:val="26"/>
          <w:szCs w:val="26"/>
        </w:rPr>
        <w:t xml:space="preserve">.  </w:t>
      </w:r>
    </w:p>
    <w:p w14:paraId="77D50EE1" w14:textId="77777777" w:rsidR="00AF71F5" w:rsidRPr="00AF71F5" w:rsidRDefault="00AF71F5" w:rsidP="00FE6090">
      <w:pPr>
        <w:jc w:val="both"/>
        <w:rPr>
          <w:sz w:val="26"/>
          <w:szCs w:val="26"/>
        </w:rPr>
      </w:pPr>
    </w:p>
    <w:p w14:paraId="4801B11A" w14:textId="03F41461" w:rsidR="00AF71F5" w:rsidRPr="00AF71F5" w:rsidRDefault="00FE6090" w:rsidP="00FE6090">
      <w:pPr>
        <w:jc w:val="both"/>
        <w:rPr>
          <w:sz w:val="26"/>
          <w:szCs w:val="26"/>
        </w:rPr>
      </w:pPr>
      <w:r w:rsidRPr="00AF71F5">
        <w:rPr>
          <w:sz w:val="26"/>
          <w:szCs w:val="26"/>
        </w:rPr>
        <w:t xml:space="preserve"> </w:t>
      </w:r>
    </w:p>
    <w:p w14:paraId="64284E4D" w14:textId="77777777" w:rsidR="00FE6090" w:rsidRPr="00AF71F5" w:rsidRDefault="00FE6090" w:rsidP="00FE6090">
      <w:pPr>
        <w:numPr>
          <w:ilvl w:val="0"/>
          <w:numId w:val="47"/>
        </w:numPr>
        <w:jc w:val="both"/>
        <w:rPr>
          <w:sz w:val="26"/>
          <w:szCs w:val="26"/>
        </w:rPr>
      </w:pPr>
      <w:r w:rsidRPr="00AF71F5">
        <w:rPr>
          <w:b/>
          <w:bCs/>
          <w:sz w:val="26"/>
          <w:szCs w:val="26"/>
        </w:rPr>
        <w:t>Informacja na temat ruchu pasażerskiego w portach morskich</w:t>
      </w:r>
      <w:r w:rsidRPr="00AF71F5">
        <w:rPr>
          <w:rStyle w:val="Odwoanieprzypisudolnego"/>
          <w:sz w:val="26"/>
          <w:szCs w:val="26"/>
        </w:rPr>
        <w:footnoteReference w:id="5"/>
      </w:r>
      <w:r w:rsidRPr="00AF71F5">
        <w:rPr>
          <w:sz w:val="26"/>
          <w:szCs w:val="26"/>
        </w:rPr>
        <w:t xml:space="preserve"> </w:t>
      </w:r>
    </w:p>
    <w:p w14:paraId="0A2198ED" w14:textId="77777777" w:rsidR="00AF71F5" w:rsidRPr="00AF71F5" w:rsidRDefault="00AF71F5" w:rsidP="00FE6090">
      <w:pPr>
        <w:jc w:val="both"/>
        <w:rPr>
          <w:color w:val="000000"/>
          <w:sz w:val="26"/>
          <w:szCs w:val="26"/>
          <w:shd w:val="clear" w:color="auto" w:fill="FFFFFF"/>
        </w:rPr>
      </w:pPr>
    </w:p>
    <w:p w14:paraId="2E56144A" w14:textId="77777777" w:rsidR="00FE6090" w:rsidRPr="00AF71F5" w:rsidRDefault="00FE6090" w:rsidP="00FE6090">
      <w:pPr>
        <w:numPr>
          <w:ilvl w:val="0"/>
          <w:numId w:val="48"/>
        </w:numPr>
        <w:jc w:val="both"/>
        <w:rPr>
          <w:b/>
          <w:bCs/>
          <w:color w:val="000000"/>
          <w:sz w:val="26"/>
          <w:szCs w:val="26"/>
          <w:shd w:val="clear" w:color="auto" w:fill="FFFFFF"/>
        </w:rPr>
      </w:pPr>
      <w:r w:rsidRPr="00AF71F5">
        <w:rPr>
          <w:b/>
          <w:bCs/>
          <w:color w:val="000000"/>
          <w:sz w:val="26"/>
          <w:szCs w:val="26"/>
          <w:shd w:val="clear" w:color="auto" w:fill="FFFFFF"/>
        </w:rPr>
        <w:t xml:space="preserve">Rok 2021 </w:t>
      </w:r>
    </w:p>
    <w:p w14:paraId="375522E4" w14:textId="77777777" w:rsidR="00FE6090" w:rsidRPr="00AF71F5" w:rsidRDefault="00FE6090" w:rsidP="00FE6090">
      <w:pPr>
        <w:ind w:left="720"/>
        <w:jc w:val="both"/>
        <w:rPr>
          <w:b/>
          <w:bCs/>
          <w:color w:val="000000"/>
          <w:sz w:val="26"/>
          <w:szCs w:val="26"/>
          <w:shd w:val="clear" w:color="auto" w:fill="FFFFFF"/>
        </w:rPr>
      </w:pPr>
    </w:p>
    <w:p w14:paraId="58284DA8" w14:textId="77777777" w:rsidR="00FE6090" w:rsidRPr="00AF71F5" w:rsidRDefault="00FE6090" w:rsidP="00FE6090">
      <w:pPr>
        <w:jc w:val="both"/>
        <w:rPr>
          <w:sz w:val="26"/>
          <w:szCs w:val="26"/>
        </w:rPr>
      </w:pPr>
      <w:r w:rsidRPr="00AF71F5">
        <w:rPr>
          <w:color w:val="000000"/>
          <w:sz w:val="26"/>
          <w:szCs w:val="26"/>
          <w:shd w:val="clear" w:color="auto" w:fill="FFFFFF"/>
        </w:rPr>
        <w:t xml:space="preserve">W 2021 r. odnotowano wzrost przewozów pasażerów wszystkimi rodzajami transportu. Łącznie przewieziono o 12,9% więcej pasażerów niż w roku poprzednim. Największy wzrost przewozów odnotowano w transporcie lotniczym (o 92,7%), a ponadto w transporcie wodnym śródlądowym (o 44,6%), morskim (o 29,5%), kolejowym (o 17,3%) i samochodowym (o 5,0%). Tak znaczący wzrost liczby przewiezionych pasażerów spowodowany był zniesieniem ograniczeń w podróżowaniu osób wprowadzonych w związku ze </w:t>
      </w:r>
      <w:r w:rsidRPr="00AF71F5">
        <w:rPr>
          <w:sz w:val="26"/>
          <w:szCs w:val="26"/>
        </w:rPr>
        <w:t>stanem pandemii związanej z rozprzestrzenianiem się wirusa SARS-CoV-2.</w:t>
      </w:r>
      <w:r w:rsidRPr="00AF71F5">
        <w:rPr>
          <w:b/>
          <w:noProof/>
          <w:spacing w:val="-2"/>
          <w:sz w:val="26"/>
          <w:szCs w:val="26"/>
        </w:rPr>
        <w:t xml:space="preserve"> </w:t>
      </w:r>
    </w:p>
    <w:p w14:paraId="1D381527" w14:textId="77777777" w:rsidR="00FE6090" w:rsidRPr="00AF71F5" w:rsidRDefault="00FE6090" w:rsidP="00FE6090">
      <w:pPr>
        <w:jc w:val="both"/>
        <w:rPr>
          <w:sz w:val="26"/>
          <w:szCs w:val="26"/>
        </w:rPr>
      </w:pPr>
    </w:p>
    <w:p w14:paraId="0B903AF5" w14:textId="77777777" w:rsidR="00FE6090" w:rsidRPr="00AF71F5" w:rsidRDefault="00FE6090" w:rsidP="00FE6090">
      <w:pPr>
        <w:jc w:val="both"/>
        <w:rPr>
          <w:sz w:val="26"/>
          <w:szCs w:val="26"/>
        </w:rPr>
      </w:pPr>
      <w:r w:rsidRPr="00AF71F5">
        <w:rPr>
          <w:sz w:val="26"/>
          <w:szCs w:val="26"/>
        </w:rPr>
        <w:t xml:space="preserve">W 2021 r. w portach morskich podróż na statkach rozpoczęło lub zakończyło 2316,5 tys. pasażerów, tj. o 21,6% więcej niż w 2020 r. W ruchu krajowym przewieziono 552,0 tys. osób (23,8%), a w ruchu międzynarodowym </w:t>
      </w:r>
      <w:r w:rsidRPr="00AF71F5">
        <w:rPr>
          <w:spacing w:val="-1"/>
          <w:sz w:val="26"/>
          <w:szCs w:val="26"/>
        </w:rPr>
        <w:t>–</w:t>
      </w:r>
      <w:r w:rsidRPr="00AF71F5">
        <w:rPr>
          <w:sz w:val="26"/>
          <w:szCs w:val="26"/>
        </w:rPr>
        <w:t xml:space="preserve"> 1764,4 tys. osób (76,2%).</w:t>
      </w:r>
    </w:p>
    <w:p w14:paraId="37328EEA" w14:textId="77777777" w:rsidR="00FE6090" w:rsidRPr="00AF71F5" w:rsidRDefault="00FE6090" w:rsidP="00FE6090">
      <w:pPr>
        <w:jc w:val="both"/>
        <w:rPr>
          <w:sz w:val="26"/>
          <w:szCs w:val="26"/>
        </w:rPr>
      </w:pPr>
      <w:r w:rsidRPr="00AF71F5">
        <w:rPr>
          <w:spacing w:val="-2"/>
          <w:sz w:val="26"/>
          <w:szCs w:val="26"/>
        </w:rPr>
        <w:t>Krajem, do którego wypłynęło lub z którego przypłynęło do polskich portów morskich najwięcej</w:t>
      </w:r>
      <w:r w:rsidRPr="00AF71F5">
        <w:rPr>
          <w:sz w:val="26"/>
          <w:szCs w:val="26"/>
        </w:rPr>
        <w:t xml:space="preserve"> pasażerów była Szwecja (udział w międzynarodowym ruchu pasażerów wyniósł 95,3%).</w:t>
      </w:r>
    </w:p>
    <w:p w14:paraId="578FDDE0" w14:textId="77777777" w:rsidR="00AF71F5" w:rsidRDefault="00AF71F5" w:rsidP="00FE6090">
      <w:pPr>
        <w:jc w:val="both"/>
        <w:rPr>
          <w:b/>
          <w:bCs/>
        </w:rPr>
      </w:pPr>
    </w:p>
    <w:p w14:paraId="30CDD98D" w14:textId="1189CA9C" w:rsidR="00FE6090" w:rsidRPr="00AF71F5" w:rsidRDefault="00FE6090" w:rsidP="00FE6090">
      <w:pPr>
        <w:jc w:val="both"/>
        <w:rPr>
          <w:b/>
          <w:bCs/>
        </w:rPr>
      </w:pPr>
      <w:r w:rsidRPr="00AF71F5">
        <w:rPr>
          <w:b/>
          <w:bCs/>
        </w:rPr>
        <w:t>Wykres: Międzynarodowy ruch pasażerów w portach morskich według kraju rozpoczęcia lub zakończenia podróży w 2021 r.</w:t>
      </w:r>
    </w:p>
    <w:p w14:paraId="641FD3E2" w14:textId="77777777" w:rsidR="00FE6090" w:rsidRPr="00AF71F5" w:rsidRDefault="00FE6090" w:rsidP="00FE6090">
      <w:pPr>
        <w:rPr>
          <w:sz w:val="26"/>
          <w:szCs w:val="26"/>
        </w:rPr>
      </w:pPr>
    </w:p>
    <w:p w14:paraId="341060E4" w14:textId="77777777" w:rsidR="00FE6090" w:rsidRPr="00AF71F5" w:rsidRDefault="00FE6090" w:rsidP="00FE6090">
      <w:pPr>
        <w:jc w:val="both"/>
        <w:rPr>
          <w:sz w:val="26"/>
          <w:szCs w:val="26"/>
        </w:rPr>
      </w:pPr>
    </w:p>
    <w:p w14:paraId="7361D1DB" w14:textId="55021D7B" w:rsidR="00FE6090" w:rsidRPr="00AF71F5" w:rsidRDefault="00FE6090" w:rsidP="00FE6090">
      <w:pPr>
        <w:jc w:val="both"/>
        <w:rPr>
          <w:sz w:val="26"/>
          <w:szCs w:val="26"/>
        </w:rPr>
      </w:pPr>
      <w:r w:rsidRPr="00AF71F5">
        <w:rPr>
          <w:noProof/>
          <w:sz w:val="26"/>
          <w:szCs w:val="26"/>
        </w:rPr>
        <w:lastRenderedPageBreak/>
        <w:drawing>
          <wp:inline distT="0" distB="0" distL="0" distR="0" wp14:anchorId="1F92D05A" wp14:editId="2A63E2D7">
            <wp:extent cx="4629150" cy="1292361"/>
            <wp:effectExtent l="0" t="0" r="0" b="3175"/>
            <wp:docPr id="175713659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9150" cy="1292225"/>
                    </a:xfrm>
                    <a:prstGeom prst="rect">
                      <a:avLst/>
                    </a:prstGeom>
                  </pic:spPr>
                </pic:pic>
              </a:graphicData>
            </a:graphic>
          </wp:inline>
        </w:drawing>
      </w:r>
    </w:p>
    <w:p w14:paraId="0ABCC642" w14:textId="77777777" w:rsidR="00FE6090" w:rsidRPr="00AF71F5" w:rsidRDefault="00FE6090" w:rsidP="00FE6090">
      <w:pPr>
        <w:jc w:val="both"/>
        <w:rPr>
          <w:sz w:val="26"/>
          <w:szCs w:val="26"/>
        </w:rPr>
      </w:pPr>
    </w:p>
    <w:p w14:paraId="070E83A8" w14:textId="77777777" w:rsidR="00FE6090" w:rsidRPr="00AF71F5" w:rsidRDefault="00FE6090" w:rsidP="00FE6090">
      <w:pPr>
        <w:pStyle w:val="tekstzboku"/>
        <w:spacing w:before="0"/>
        <w:rPr>
          <w:rFonts w:ascii="Times New Roman" w:hAnsi="Times New Roman"/>
          <w:color w:val="auto"/>
          <w:sz w:val="26"/>
          <w:szCs w:val="26"/>
        </w:rPr>
      </w:pPr>
    </w:p>
    <w:p w14:paraId="52DD87EA" w14:textId="77777777" w:rsidR="00FE6090" w:rsidRPr="00AF71F5" w:rsidRDefault="00FE6090" w:rsidP="00FE6090">
      <w:pPr>
        <w:pStyle w:val="tekstzboku"/>
        <w:spacing w:before="0"/>
        <w:jc w:val="both"/>
        <w:rPr>
          <w:rFonts w:ascii="Times New Roman" w:hAnsi="Times New Roman"/>
          <w:color w:val="auto"/>
          <w:sz w:val="26"/>
          <w:szCs w:val="26"/>
        </w:rPr>
      </w:pPr>
      <w:r w:rsidRPr="00AF71F5">
        <w:rPr>
          <w:rFonts w:ascii="Times New Roman" w:hAnsi="Times New Roman"/>
          <w:color w:val="auto"/>
          <w:sz w:val="26"/>
          <w:szCs w:val="26"/>
        </w:rPr>
        <w:t>Liczba pasażerów przewiezionych w komunikacji międzynarodowej zwiększyła się o 16,1% w porównaniu z 2020 r.</w:t>
      </w:r>
    </w:p>
    <w:p w14:paraId="17B40B94" w14:textId="77777777" w:rsidR="00FE6090" w:rsidRPr="00AF71F5" w:rsidRDefault="00FE6090" w:rsidP="00FE6090">
      <w:pPr>
        <w:jc w:val="both"/>
        <w:rPr>
          <w:sz w:val="26"/>
          <w:szCs w:val="26"/>
        </w:rPr>
      </w:pPr>
    </w:p>
    <w:p w14:paraId="712CF1FF" w14:textId="77777777" w:rsidR="00FE6090" w:rsidRPr="00AF71F5" w:rsidRDefault="00FE6090" w:rsidP="00FE6090">
      <w:pPr>
        <w:jc w:val="both"/>
        <w:rPr>
          <w:sz w:val="26"/>
          <w:szCs w:val="26"/>
        </w:rPr>
      </w:pPr>
      <w:r w:rsidRPr="00AF71F5">
        <w:rPr>
          <w:sz w:val="26"/>
          <w:szCs w:val="26"/>
        </w:rPr>
        <w:t xml:space="preserve">Statkami pasażerskimi przybrzeżnej floty transportowej w komunikacji pomiędzy portami polskimi w 2021 r. przewieziono 207,0 tys. pasażerów (o 6,6% więcej niż w poprzednim roku), a praca przewozowa wyniosła 4581,2 tys. pasażerokilometrów (o 17,7% więcej w porównaniu z 2020 r.). Wewnątrzportowe przewozy pasażerów statkami żeglugi przybrzeżnej w 2021 r. wyniosły 606,8 tys. osób (wzrost o 58,9% w skali roku), a średnia odległość przewozu jednego pasażera – 7,5 km. </w:t>
      </w:r>
    </w:p>
    <w:p w14:paraId="644CBD8B" w14:textId="77777777" w:rsidR="00FE6090" w:rsidRPr="00AF71F5" w:rsidRDefault="00FE6090" w:rsidP="00FE6090">
      <w:pPr>
        <w:rPr>
          <w:sz w:val="26"/>
          <w:szCs w:val="26"/>
        </w:rPr>
      </w:pPr>
    </w:p>
    <w:p w14:paraId="1C1E1FCF" w14:textId="77777777" w:rsidR="00FE6090" w:rsidRPr="00AF71F5" w:rsidRDefault="00FE6090" w:rsidP="00FE6090">
      <w:pPr>
        <w:rPr>
          <w:sz w:val="26"/>
          <w:szCs w:val="26"/>
        </w:rPr>
      </w:pPr>
    </w:p>
    <w:p w14:paraId="4AB7172C" w14:textId="77777777" w:rsidR="00FE6090" w:rsidRPr="00AF71F5" w:rsidRDefault="00FE6090" w:rsidP="00FE6090">
      <w:r w:rsidRPr="00AF71F5">
        <w:rPr>
          <w:b/>
          <w:bCs/>
        </w:rPr>
        <w:t>Wykres: Struktura przewozów pasażerów morską i przybrzeżną flotą transportową w 2021 r. (bez kierowców samochodów ciężarowych)</w:t>
      </w:r>
    </w:p>
    <w:p w14:paraId="6D00DE0E" w14:textId="77777777" w:rsidR="00FE6090" w:rsidRPr="00AF71F5" w:rsidRDefault="00FE6090" w:rsidP="00FE6090">
      <w:pPr>
        <w:rPr>
          <w:sz w:val="26"/>
          <w:szCs w:val="26"/>
        </w:rPr>
      </w:pPr>
    </w:p>
    <w:p w14:paraId="5553AE94" w14:textId="77777777" w:rsidR="00FE6090" w:rsidRPr="00AF71F5" w:rsidRDefault="00FE6090" w:rsidP="00FE6090">
      <w:pPr>
        <w:rPr>
          <w:sz w:val="26"/>
          <w:szCs w:val="26"/>
        </w:rPr>
      </w:pPr>
    </w:p>
    <w:p w14:paraId="065D4866" w14:textId="5B666FDA" w:rsidR="00FE6090" w:rsidRPr="00AF71F5" w:rsidRDefault="00FE6090" w:rsidP="00FE6090">
      <w:pPr>
        <w:rPr>
          <w:sz w:val="26"/>
          <w:szCs w:val="26"/>
        </w:rPr>
      </w:pPr>
      <w:r w:rsidRPr="00AF71F5">
        <w:rPr>
          <w:noProof/>
          <w:sz w:val="26"/>
          <w:szCs w:val="26"/>
        </w:rPr>
        <w:drawing>
          <wp:inline distT="0" distB="0" distL="0" distR="0" wp14:anchorId="5E4FCAE2" wp14:editId="3C3F171C">
            <wp:extent cx="4333875" cy="2017013"/>
            <wp:effectExtent l="0" t="0" r="9525" b="2540"/>
            <wp:docPr id="137705356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3875" cy="2016760"/>
                    </a:xfrm>
                    <a:prstGeom prst="rect">
                      <a:avLst/>
                    </a:prstGeom>
                  </pic:spPr>
                </pic:pic>
              </a:graphicData>
            </a:graphic>
          </wp:inline>
        </w:drawing>
      </w:r>
    </w:p>
    <w:p w14:paraId="43AF225C" w14:textId="77777777" w:rsidR="00FE6090" w:rsidRPr="00AF71F5" w:rsidRDefault="00FE6090" w:rsidP="00FE6090">
      <w:pPr>
        <w:rPr>
          <w:sz w:val="26"/>
          <w:szCs w:val="26"/>
        </w:rPr>
      </w:pPr>
    </w:p>
    <w:p w14:paraId="30C5EAD4" w14:textId="77777777" w:rsidR="00FE6090" w:rsidRPr="00AF71F5" w:rsidRDefault="00FE6090" w:rsidP="00FE6090">
      <w:pPr>
        <w:jc w:val="both"/>
        <w:rPr>
          <w:sz w:val="26"/>
          <w:szCs w:val="26"/>
        </w:rPr>
      </w:pPr>
    </w:p>
    <w:p w14:paraId="33CEA4D4" w14:textId="77777777" w:rsidR="00FE6090" w:rsidRPr="00AF71F5" w:rsidRDefault="00FE6090" w:rsidP="00FE6090">
      <w:pPr>
        <w:numPr>
          <w:ilvl w:val="0"/>
          <w:numId w:val="48"/>
        </w:numPr>
        <w:jc w:val="both"/>
        <w:rPr>
          <w:b/>
          <w:bCs/>
          <w:sz w:val="26"/>
          <w:szCs w:val="26"/>
        </w:rPr>
      </w:pPr>
      <w:r w:rsidRPr="00AF71F5">
        <w:rPr>
          <w:b/>
          <w:bCs/>
          <w:sz w:val="26"/>
          <w:szCs w:val="26"/>
        </w:rPr>
        <w:t xml:space="preserve">Rok 2022 </w:t>
      </w:r>
    </w:p>
    <w:p w14:paraId="19961C61" w14:textId="77777777" w:rsidR="00FE6090" w:rsidRPr="00AF71F5" w:rsidRDefault="00FE6090" w:rsidP="00FE6090">
      <w:pPr>
        <w:jc w:val="both"/>
        <w:rPr>
          <w:sz w:val="26"/>
          <w:szCs w:val="26"/>
        </w:rPr>
      </w:pPr>
    </w:p>
    <w:p w14:paraId="2ECB7408" w14:textId="77777777" w:rsidR="00FE6090" w:rsidRPr="00AF71F5" w:rsidRDefault="00FE6090" w:rsidP="00FE6090">
      <w:pPr>
        <w:rPr>
          <w:sz w:val="26"/>
          <w:szCs w:val="26"/>
        </w:rPr>
      </w:pPr>
    </w:p>
    <w:p w14:paraId="4E2F12A0" w14:textId="77777777" w:rsidR="00FE6090" w:rsidRPr="00AF71F5" w:rsidRDefault="00FE6090" w:rsidP="00FE6090">
      <w:pPr>
        <w:jc w:val="both"/>
        <w:rPr>
          <w:sz w:val="26"/>
          <w:szCs w:val="26"/>
        </w:rPr>
      </w:pPr>
      <w:r w:rsidRPr="00AF71F5">
        <w:rPr>
          <w:sz w:val="26"/>
          <w:szCs w:val="26"/>
        </w:rPr>
        <w:t xml:space="preserve">W 2022 r. w portach morskich podróż na statkach rozpoczęło lub zakończyło 2008,0 tys. pasażerów, tj. o 13,3% mniej niż w 2021 r. W ruchu krajowym przewieziono 193,0 tys. osób (o 65,0% mniej), a w ruchu międzynarodowym </w:t>
      </w:r>
      <w:r w:rsidRPr="00AF71F5">
        <w:rPr>
          <w:spacing w:val="-1"/>
          <w:sz w:val="26"/>
          <w:szCs w:val="26"/>
        </w:rPr>
        <w:t>–</w:t>
      </w:r>
      <w:r w:rsidRPr="00AF71F5">
        <w:rPr>
          <w:sz w:val="26"/>
          <w:szCs w:val="26"/>
        </w:rPr>
        <w:t xml:space="preserve"> 1815,0 tys. osób (o 2,9% więcej).</w:t>
      </w:r>
    </w:p>
    <w:p w14:paraId="7EEA550B" w14:textId="77777777" w:rsidR="00FE6090" w:rsidRPr="00AF71F5" w:rsidRDefault="00FE6090" w:rsidP="00FE6090">
      <w:pPr>
        <w:jc w:val="both"/>
        <w:rPr>
          <w:sz w:val="26"/>
          <w:szCs w:val="26"/>
        </w:rPr>
      </w:pPr>
      <w:r w:rsidRPr="00AF71F5">
        <w:rPr>
          <w:spacing w:val="-2"/>
          <w:sz w:val="26"/>
          <w:szCs w:val="26"/>
        </w:rPr>
        <w:t>Krajem, do którego wypłynęło lub z którego przypłynęło do polskich portów morskich najwięcej</w:t>
      </w:r>
      <w:r w:rsidRPr="00AF71F5">
        <w:rPr>
          <w:sz w:val="26"/>
          <w:szCs w:val="26"/>
        </w:rPr>
        <w:t xml:space="preserve"> pasażerów była Szwecja (udział w międzynarodowym ruchu pasażerów wyniósł 99,4%).</w:t>
      </w:r>
    </w:p>
    <w:p w14:paraId="7ECD8DCA" w14:textId="75C296F4" w:rsidR="00FE6090" w:rsidRPr="00AF71F5" w:rsidRDefault="00FE6090" w:rsidP="00FE6090">
      <w:pPr>
        <w:pStyle w:val="tytuwykresu"/>
        <w:ind w:left="851" w:hanging="851"/>
        <w:rPr>
          <w:rFonts w:ascii="Times New Roman" w:hAnsi="Times New Roman"/>
          <w:sz w:val="24"/>
          <w:szCs w:val="24"/>
        </w:rPr>
      </w:pPr>
      <w:r w:rsidRPr="00AF71F5">
        <w:rPr>
          <w:rFonts w:ascii="Times New Roman" w:hAnsi="Times New Roman"/>
          <w:sz w:val="24"/>
          <w:szCs w:val="24"/>
        </w:rPr>
        <w:lastRenderedPageBreak/>
        <w:t>Wykres: Międzynarodowy ruch pasażerów w portach morskich według kraju rozpoczęcia lub zakończenia podróży w 2022 r.</w:t>
      </w:r>
    </w:p>
    <w:p w14:paraId="2EC575E5" w14:textId="4FAE0BA5" w:rsidR="00FE6090" w:rsidRPr="00AF71F5" w:rsidRDefault="00FE6090" w:rsidP="00FE6090">
      <w:pPr>
        <w:pStyle w:val="Brakstyluakapitowego"/>
        <w:rPr>
          <w:sz w:val="26"/>
          <w:szCs w:val="26"/>
        </w:rPr>
      </w:pPr>
      <w:r w:rsidRPr="00AF71F5">
        <w:rPr>
          <w:noProof/>
          <w:sz w:val="26"/>
          <w:szCs w:val="26"/>
          <w:lang w:val="pl-PL"/>
        </w:rPr>
        <w:drawing>
          <wp:inline distT="0" distB="0" distL="0" distR="0" wp14:anchorId="3627372A" wp14:editId="1D187E32">
            <wp:extent cx="4686300" cy="1255275"/>
            <wp:effectExtent l="0" t="0" r="0" b="2540"/>
            <wp:docPr id="6443423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00" cy="1254760"/>
                    </a:xfrm>
                    <a:prstGeom prst="rect">
                      <a:avLst/>
                    </a:prstGeom>
                  </pic:spPr>
                </pic:pic>
              </a:graphicData>
            </a:graphic>
          </wp:inline>
        </w:drawing>
      </w:r>
    </w:p>
    <w:p w14:paraId="6848A13D" w14:textId="77777777" w:rsidR="00FE6090" w:rsidRPr="00AF71F5" w:rsidRDefault="00FE6090" w:rsidP="00FE6090">
      <w:pPr>
        <w:rPr>
          <w:sz w:val="26"/>
          <w:szCs w:val="26"/>
        </w:rPr>
      </w:pPr>
    </w:p>
    <w:p w14:paraId="455E9333" w14:textId="3C61A7F9" w:rsidR="00FE6090" w:rsidRPr="00AF71F5" w:rsidRDefault="00FE6090" w:rsidP="00FE6090">
      <w:pPr>
        <w:pStyle w:val="tekstzboku"/>
        <w:jc w:val="both"/>
        <w:rPr>
          <w:rFonts w:ascii="Times New Roman" w:hAnsi="Times New Roman"/>
          <w:color w:val="auto"/>
          <w:sz w:val="26"/>
          <w:szCs w:val="26"/>
        </w:rPr>
      </w:pPr>
      <w:r w:rsidRPr="00AF71F5">
        <w:rPr>
          <w:rFonts w:ascii="Times New Roman" w:hAnsi="Times New Roman"/>
          <w:color w:val="auto"/>
          <w:sz w:val="26"/>
          <w:szCs w:val="26"/>
        </w:rPr>
        <w:t>Liczba pasażerów przewiezionych w komunikacji międzynarodowej zwiększyła się o 5,1% w porównaniu z 2021 r.</w:t>
      </w:r>
    </w:p>
    <w:p w14:paraId="5841F6E6" w14:textId="77777777" w:rsidR="00FE6090" w:rsidRPr="00AF71F5" w:rsidRDefault="00FE6090" w:rsidP="00FE6090">
      <w:pPr>
        <w:rPr>
          <w:sz w:val="26"/>
          <w:szCs w:val="26"/>
        </w:rPr>
      </w:pPr>
    </w:p>
    <w:p w14:paraId="75A9BA8E" w14:textId="0975CEA2" w:rsidR="00FE6090" w:rsidRPr="00AF71F5" w:rsidRDefault="00FE6090" w:rsidP="00FE6090">
      <w:pPr>
        <w:jc w:val="both"/>
        <w:rPr>
          <w:spacing w:val="-4"/>
          <w:sz w:val="26"/>
          <w:szCs w:val="26"/>
        </w:rPr>
      </w:pPr>
      <w:r w:rsidRPr="00AF71F5">
        <w:rPr>
          <w:color w:val="000000"/>
          <w:sz w:val="26"/>
          <w:szCs w:val="26"/>
        </w:rPr>
        <w:t xml:space="preserve">W 2022 r. morską flotą transportową polscy armatorzy i operatorzy przewieźli w komunikacji międzynarodowej 611,4 tys. pasażerów. Ponadto promami przetransportowano 312,8 </w:t>
      </w:r>
      <w:r w:rsidRPr="00AF71F5">
        <w:rPr>
          <w:sz w:val="26"/>
          <w:szCs w:val="26"/>
        </w:rPr>
        <w:t>tys. kierowców samochodów ciężarowych (o 6,8% mniej niż w roku poprzednim).</w:t>
      </w:r>
    </w:p>
    <w:p w14:paraId="5671E707" w14:textId="77777777" w:rsidR="00FE6090" w:rsidRPr="00AF71F5" w:rsidRDefault="00FE6090" w:rsidP="00FE6090">
      <w:pPr>
        <w:rPr>
          <w:sz w:val="26"/>
          <w:szCs w:val="26"/>
        </w:rPr>
      </w:pPr>
    </w:p>
    <w:p w14:paraId="6AB8D9C6" w14:textId="77777777" w:rsidR="00FE6090" w:rsidRPr="00AF71F5" w:rsidRDefault="00FE6090" w:rsidP="00FE6090">
      <w:pPr>
        <w:jc w:val="both"/>
        <w:rPr>
          <w:sz w:val="26"/>
          <w:szCs w:val="26"/>
        </w:rPr>
      </w:pPr>
      <w:r w:rsidRPr="00AF71F5">
        <w:rPr>
          <w:sz w:val="26"/>
          <w:szCs w:val="26"/>
        </w:rPr>
        <w:t xml:space="preserve">Statkami pasażerskimi przybrzeżnej floty transportowej w komunikacji pomiędzy portami polskimi w 2022 r. przewieziono 192,6 tys. pasażerów (o 7,0% mniej niż w poprzednim roku), a praca przewozowa wyniosła 4231,9 tys. pasażerokilometrów (o 7,6% mniej w porównaniu z 2021 r.). Wewnątrzportowe przewozy pasażerów statkami żeglugi przybrzeżnej w 2022 r. wyniosły 547,4 tys. osób (spadek o 9,8% w skali roku), a średnia odległość przewozu jednego pasażera – 7,8 km. </w:t>
      </w:r>
    </w:p>
    <w:p w14:paraId="6AD0F9AF" w14:textId="77777777" w:rsidR="00AF71F5" w:rsidRPr="00AF71F5" w:rsidRDefault="00AF71F5" w:rsidP="00FE6090">
      <w:pPr>
        <w:jc w:val="both"/>
        <w:rPr>
          <w:sz w:val="26"/>
          <w:szCs w:val="26"/>
        </w:rPr>
      </w:pPr>
    </w:p>
    <w:p w14:paraId="50875FCA" w14:textId="77777777" w:rsidR="00FE6090" w:rsidRDefault="00FE6090" w:rsidP="00FE6090">
      <w:pPr>
        <w:pStyle w:val="tytuwykresu"/>
        <w:rPr>
          <w:rFonts w:ascii="Times New Roman" w:hAnsi="Times New Roman"/>
          <w:sz w:val="24"/>
          <w:szCs w:val="24"/>
        </w:rPr>
      </w:pPr>
      <w:r w:rsidRPr="00AF71F5">
        <w:rPr>
          <w:rFonts w:ascii="Times New Roman" w:hAnsi="Times New Roman"/>
          <w:sz w:val="24"/>
          <w:szCs w:val="24"/>
        </w:rPr>
        <w:t>Wykres: Struktura przewozów pasażerów morską i przybrzeżną flotą transportową w 2022 r. (bez kierowców samochodów ciężarowych)</w:t>
      </w:r>
    </w:p>
    <w:p w14:paraId="60A9BF7D" w14:textId="77777777" w:rsidR="00AF71F5" w:rsidRPr="00AF71F5" w:rsidRDefault="00AF71F5" w:rsidP="00FE6090">
      <w:pPr>
        <w:pStyle w:val="tytuwykresu"/>
        <w:rPr>
          <w:rFonts w:ascii="Times New Roman" w:hAnsi="Times New Roman"/>
          <w:sz w:val="24"/>
          <w:szCs w:val="24"/>
        </w:rPr>
      </w:pPr>
    </w:p>
    <w:p w14:paraId="7472A092" w14:textId="00735722" w:rsidR="00FE6090" w:rsidRPr="00AF71F5" w:rsidRDefault="00FE6090" w:rsidP="00FE6090">
      <w:pPr>
        <w:jc w:val="both"/>
        <w:rPr>
          <w:noProof/>
          <w:sz w:val="26"/>
          <w:szCs w:val="26"/>
        </w:rPr>
      </w:pPr>
      <w:r w:rsidRPr="00AF71F5">
        <w:rPr>
          <w:noProof/>
          <w:sz w:val="26"/>
          <w:szCs w:val="26"/>
        </w:rPr>
        <w:drawing>
          <wp:inline distT="0" distB="0" distL="0" distR="0" wp14:anchorId="197C11CA" wp14:editId="22A3C96E">
            <wp:extent cx="4170047" cy="1979930"/>
            <wp:effectExtent l="0" t="0" r="1905" b="1270"/>
            <wp:docPr id="120217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045" cy="1979930"/>
                    </a:xfrm>
                    <a:prstGeom prst="rect">
                      <a:avLst/>
                    </a:prstGeom>
                  </pic:spPr>
                </pic:pic>
              </a:graphicData>
            </a:graphic>
          </wp:inline>
        </w:drawing>
      </w:r>
    </w:p>
    <w:p w14:paraId="6C86F939" w14:textId="77777777" w:rsidR="00FE6090" w:rsidRDefault="00FE6090" w:rsidP="00FE6090">
      <w:pPr>
        <w:jc w:val="both"/>
        <w:rPr>
          <w:sz w:val="26"/>
          <w:szCs w:val="26"/>
        </w:rPr>
      </w:pPr>
    </w:p>
    <w:p w14:paraId="6152FA40" w14:textId="77777777" w:rsidR="00AF71F5" w:rsidRDefault="00AF71F5" w:rsidP="00FE6090">
      <w:pPr>
        <w:jc w:val="both"/>
        <w:rPr>
          <w:sz w:val="26"/>
          <w:szCs w:val="26"/>
        </w:rPr>
      </w:pPr>
    </w:p>
    <w:p w14:paraId="0B0B5148" w14:textId="77777777" w:rsidR="00BB3017" w:rsidRDefault="00BB3017" w:rsidP="00FE6090">
      <w:pPr>
        <w:jc w:val="both"/>
        <w:rPr>
          <w:sz w:val="26"/>
          <w:szCs w:val="26"/>
        </w:rPr>
      </w:pPr>
    </w:p>
    <w:p w14:paraId="63EE25E7" w14:textId="77777777" w:rsidR="00BB3017" w:rsidRPr="00AF71F5" w:rsidRDefault="00BB3017" w:rsidP="00FE6090">
      <w:pPr>
        <w:jc w:val="both"/>
        <w:rPr>
          <w:sz w:val="26"/>
          <w:szCs w:val="26"/>
        </w:rPr>
      </w:pPr>
    </w:p>
    <w:p w14:paraId="3616CD7E" w14:textId="77777777" w:rsidR="00AF71F5" w:rsidRPr="00AF71F5" w:rsidRDefault="00AF71F5" w:rsidP="00FE6090">
      <w:pPr>
        <w:jc w:val="both"/>
        <w:rPr>
          <w:sz w:val="26"/>
          <w:szCs w:val="26"/>
        </w:rPr>
      </w:pPr>
    </w:p>
    <w:p w14:paraId="1113E709" w14:textId="77777777" w:rsidR="00FE6090" w:rsidRPr="00AF71F5" w:rsidRDefault="00FE6090" w:rsidP="00FE6090">
      <w:pPr>
        <w:numPr>
          <w:ilvl w:val="0"/>
          <w:numId w:val="47"/>
        </w:numPr>
        <w:jc w:val="both"/>
        <w:rPr>
          <w:b/>
          <w:bCs/>
          <w:sz w:val="26"/>
          <w:szCs w:val="26"/>
        </w:rPr>
      </w:pPr>
      <w:r w:rsidRPr="00AF71F5">
        <w:rPr>
          <w:b/>
          <w:bCs/>
          <w:sz w:val="26"/>
          <w:szCs w:val="26"/>
        </w:rPr>
        <w:lastRenderedPageBreak/>
        <w:t xml:space="preserve"> Sposób rozpatrywania skarg pasażerów</w:t>
      </w:r>
    </w:p>
    <w:p w14:paraId="43930A54" w14:textId="77777777" w:rsidR="00FE6090" w:rsidRPr="00AF71F5" w:rsidRDefault="00FE6090" w:rsidP="00FE6090">
      <w:pPr>
        <w:ind w:left="1080"/>
        <w:jc w:val="both"/>
        <w:rPr>
          <w:sz w:val="26"/>
          <w:szCs w:val="26"/>
        </w:rPr>
      </w:pPr>
    </w:p>
    <w:p w14:paraId="7B000BFC" w14:textId="77777777" w:rsidR="00FE6090" w:rsidRPr="00AF71F5" w:rsidRDefault="00FE6090" w:rsidP="00FE6090">
      <w:pPr>
        <w:jc w:val="both"/>
        <w:rPr>
          <w:sz w:val="26"/>
          <w:szCs w:val="26"/>
        </w:rPr>
      </w:pPr>
      <w:r w:rsidRPr="00AF71F5">
        <w:rPr>
          <w:sz w:val="26"/>
          <w:szCs w:val="26"/>
        </w:rPr>
        <w:t xml:space="preserve">W polskim prawie przewidziano dwuetapowy system rozpatrywania skarg pasażerów. W przypadku gdy pasażer nie jest zadowolony ze sposobu rozpatrzenia przez przewoźnika lub operatora terminalu skargi, o której mowa w art. 24 rozporządzenia nr 1177/2010 lub nie uzyska on odpowiedzi na taką skargę, może wnieść skargę do dyrektora urzędu morskiego. </w:t>
      </w:r>
    </w:p>
    <w:p w14:paraId="4BD8A9B9" w14:textId="77777777" w:rsidR="00FE6090" w:rsidRPr="00AF71F5" w:rsidRDefault="00FE6090" w:rsidP="00FE6090">
      <w:pPr>
        <w:jc w:val="both"/>
        <w:rPr>
          <w:sz w:val="26"/>
          <w:szCs w:val="26"/>
        </w:rPr>
      </w:pPr>
    </w:p>
    <w:p w14:paraId="51F3FCB1" w14:textId="77777777" w:rsidR="00FE6090" w:rsidRPr="00AF71F5" w:rsidRDefault="00FE6090" w:rsidP="00FE6090">
      <w:pPr>
        <w:jc w:val="both"/>
        <w:rPr>
          <w:sz w:val="26"/>
          <w:szCs w:val="26"/>
        </w:rPr>
      </w:pPr>
      <w:r w:rsidRPr="00AF71F5">
        <w:rPr>
          <w:sz w:val="26"/>
          <w:szCs w:val="26"/>
        </w:rPr>
        <w:t xml:space="preserve">Dyrektor Urzędu Morskiego pełni zatem organu odwoławczego w zakresie skarg. </w:t>
      </w:r>
    </w:p>
    <w:p w14:paraId="1831EE04" w14:textId="77777777" w:rsidR="00FE6090" w:rsidRPr="00AF71F5" w:rsidRDefault="00FE6090" w:rsidP="00FE6090">
      <w:pPr>
        <w:jc w:val="both"/>
        <w:rPr>
          <w:sz w:val="26"/>
          <w:szCs w:val="26"/>
        </w:rPr>
      </w:pPr>
    </w:p>
    <w:p w14:paraId="4E84CF84" w14:textId="55AFB721" w:rsidR="00FE6090" w:rsidRPr="00AF71F5" w:rsidRDefault="00FE6090" w:rsidP="00FE6090">
      <w:pPr>
        <w:jc w:val="both"/>
        <w:rPr>
          <w:sz w:val="26"/>
          <w:szCs w:val="26"/>
        </w:rPr>
      </w:pPr>
      <w:r w:rsidRPr="00AF71F5">
        <w:rPr>
          <w:sz w:val="26"/>
          <w:szCs w:val="26"/>
        </w:rPr>
        <w:t>Zgodnie z art. 43 a ustawy z dnia 21 marca 1991 r. o obszarach morskich R</w:t>
      </w:r>
      <w:r w:rsidR="00235F42">
        <w:rPr>
          <w:sz w:val="26"/>
          <w:szCs w:val="26"/>
        </w:rPr>
        <w:t xml:space="preserve">zeczypospolitej </w:t>
      </w:r>
      <w:r w:rsidRPr="00AF71F5">
        <w:rPr>
          <w:sz w:val="26"/>
          <w:szCs w:val="26"/>
        </w:rPr>
        <w:t>P</w:t>
      </w:r>
      <w:r w:rsidR="00235F42">
        <w:rPr>
          <w:sz w:val="26"/>
          <w:szCs w:val="26"/>
        </w:rPr>
        <w:t>olskiej</w:t>
      </w:r>
      <w:r w:rsidRPr="00AF71F5">
        <w:rPr>
          <w:sz w:val="26"/>
          <w:szCs w:val="26"/>
        </w:rPr>
        <w:t xml:space="preserve"> i administracji morskiej</w:t>
      </w:r>
      <w:r w:rsidRPr="00AF71F5">
        <w:rPr>
          <w:rStyle w:val="Odwoanieprzypisudolnego"/>
          <w:sz w:val="26"/>
          <w:szCs w:val="26"/>
        </w:rPr>
        <w:footnoteReference w:id="6"/>
      </w:r>
      <w:r w:rsidRPr="00AF71F5">
        <w:rPr>
          <w:sz w:val="26"/>
          <w:szCs w:val="26"/>
        </w:rPr>
        <w:t xml:space="preserve"> do skargi wnoszonej do dyrektora urzędu morskiego pasażer dołącza: </w:t>
      </w:r>
    </w:p>
    <w:p w14:paraId="5819E068" w14:textId="77777777" w:rsidR="00FE6090" w:rsidRPr="00AF71F5" w:rsidRDefault="00FE6090" w:rsidP="00FE6090">
      <w:pPr>
        <w:jc w:val="both"/>
        <w:rPr>
          <w:sz w:val="26"/>
          <w:szCs w:val="26"/>
        </w:rPr>
      </w:pPr>
    </w:p>
    <w:p w14:paraId="73C2CD5F" w14:textId="77777777" w:rsidR="00FE6090" w:rsidRPr="00AF71F5" w:rsidRDefault="00FE6090" w:rsidP="00FE6090">
      <w:pPr>
        <w:ind w:left="708"/>
        <w:jc w:val="both"/>
        <w:rPr>
          <w:sz w:val="26"/>
          <w:szCs w:val="26"/>
        </w:rPr>
      </w:pPr>
      <w:r w:rsidRPr="00AF71F5">
        <w:rPr>
          <w:sz w:val="26"/>
          <w:szCs w:val="26"/>
        </w:rPr>
        <w:t xml:space="preserve">1) kopię skargi skierowanej do przewoźnika lub operatora terminalu, </w:t>
      </w:r>
    </w:p>
    <w:p w14:paraId="134D9C51" w14:textId="77777777" w:rsidR="00FE6090" w:rsidRPr="00AF71F5" w:rsidRDefault="00FE6090" w:rsidP="00FE6090">
      <w:pPr>
        <w:ind w:left="708"/>
        <w:jc w:val="both"/>
        <w:rPr>
          <w:sz w:val="26"/>
          <w:szCs w:val="26"/>
        </w:rPr>
      </w:pPr>
      <w:r w:rsidRPr="00AF71F5">
        <w:rPr>
          <w:sz w:val="26"/>
          <w:szCs w:val="26"/>
        </w:rPr>
        <w:t xml:space="preserve">2) kopię odpowiedzi na skargę, o której mowa w pkt 1, albo oświadczenie, że odpowiedź nie została udzielona w terminie określonym w art. 24 ust. 2 rozporządzenia nr 1177/2010; </w:t>
      </w:r>
    </w:p>
    <w:p w14:paraId="23728AFF" w14:textId="77777777" w:rsidR="00FE6090" w:rsidRPr="00AF71F5" w:rsidRDefault="00FE6090" w:rsidP="00FE6090">
      <w:pPr>
        <w:ind w:left="708"/>
        <w:jc w:val="both"/>
        <w:rPr>
          <w:sz w:val="26"/>
          <w:szCs w:val="26"/>
        </w:rPr>
      </w:pPr>
      <w:r w:rsidRPr="00AF71F5">
        <w:rPr>
          <w:sz w:val="26"/>
          <w:szCs w:val="26"/>
        </w:rPr>
        <w:t xml:space="preserve">3) kopię biletu lub potwierdzonej rezerwacji na daną trasę. </w:t>
      </w:r>
    </w:p>
    <w:p w14:paraId="7C4B1B9F" w14:textId="77777777" w:rsidR="00FE6090" w:rsidRPr="00AF71F5" w:rsidRDefault="00FE6090" w:rsidP="00FE6090">
      <w:pPr>
        <w:jc w:val="both"/>
        <w:rPr>
          <w:sz w:val="26"/>
          <w:szCs w:val="26"/>
        </w:rPr>
      </w:pPr>
    </w:p>
    <w:p w14:paraId="686F8B6F" w14:textId="77777777" w:rsidR="00FE6090" w:rsidRPr="00AF71F5" w:rsidRDefault="00FE6090" w:rsidP="00FE6090">
      <w:pPr>
        <w:jc w:val="both"/>
        <w:rPr>
          <w:sz w:val="26"/>
          <w:szCs w:val="26"/>
        </w:rPr>
      </w:pPr>
      <w:r w:rsidRPr="00AF71F5">
        <w:rPr>
          <w:sz w:val="26"/>
          <w:szCs w:val="26"/>
        </w:rPr>
        <w:t>Przewidziano, że do rozpatrywania skarg pasażerów stosuje się procedurę określoną w dziale VIII ustawy z dnia 14 czerwca 1960 r. kodeks postępowania administracyjnego</w:t>
      </w:r>
      <w:r w:rsidRPr="00AF71F5">
        <w:rPr>
          <w:rStyle w:val="Odwoanieprzypisudolnego"/>
          <w:sz w:val="26"/>
          <w:szCs w:val="26"/>
        </w:rPr>
        <w:footnoteReference w:id="7"/>
      </w:r>
      <w:r w:rsidRPr="00AF71F5">
        <w:rPr>
          <w:sz w:val="26"/>
          <w:szCs w:val="26"/>
        </w:rPr>
        <w:t>, dalej: „k.p.a.”</w:t>
      </w:r>
    </w:p>
    <w:p w14:paraId="1A451817" w14:textId="77777777" w:rsidR="00FE6090" w:rsidRPr="00AF71F5" w:rsidRDefault="00FE6090" w:rsidP="00FE6090">
      <w:pPr>
        <w:jc w:val="both"/>
        <w:rPr>
          <w:sz w:val="26"/>
          <w:szCs w:val="26"/>
        </w:rPr>
      </w:pPr>
    </w:p>
    <w:p w14:paraId="67B9DA02" w14:textId="77777777" w:rsidR="00FE6090" w:rsidRPr="00AF71F5" w:rsidRDefault="00FE6090" w:rsidP="00FE6090">
      <w:pPr>
        <w:jc w:val="both"/>
        <w:rPr>
          <w:sz w:val="26"/>
          <w:szCs w:val="26"/>
        </w:rPr>
      </w:pPr>
      <w:r w:rsidRPr="00AF71F5">
        <w:rPr>
          <w:sz w:val="26"/>
          <w:szCs w:val="26"/>
        </w:rPr>
        <w:t xml:space="preserve">Dyrektor Urzędu Morskiego powinien załatwić skargę bez zbędnej zwłoki, nie później jednak niż w ciągu miesiąca. O sposobie załatwienia skargi zawiadamia się skarżącego. W razie niezałatwienia skargi w terminie należy poinformować skarżącego podając przyczyny zwłoki, wskazując nowy termin załatwienia sprawy oraz pouczając o prawie do wniesienia ponaglenia, w trybie art. 37 k.p.a. </w:t>
      </w:r>
    </w:p>
    <w:p w14:paraId="5FED6CA5" w14:textId="77777777" w:rsidR="00FE6090" w:rsidRPr="00AF71F5" w:rsidRDefault="00FE6090" w:rsidP="00FE6090">
      <w:pPr>
        <w:jc w:val="both"/>
        <w:rPr>
          <w:sz w:val="26"/>
          <w:szCs w:val="26"/>
        </w:rPr>
      </w:pPr>
    </w:p>
    <w:p w14:paraId="326DE1B0" w14:textId="77777777" w:rsidR="00FE6090" w:rsidRPr="00AF71F5" w:rsidRDefault="00FE6090" w:rsidP="00FE6090">
      <w:pPr>
        <w:jc w:val="both"/>
        <w:rPr>
          <w:sz w:val="26"/>
          <w:szCs w:val="26"/>
        </w:rPr>
      </w:pPr>
      <w:r w:rsidRPr="00AF71F5">
        <w:rPr>
          <w:sz w:val="26"/>
          <w:szCs w:val="26"/>
        </w:rPr>
        <w:t>Zawiadomienie o sposobie załatwienia skargi powinno zawierać: oznaczenie organu, od którego pochodzi, wskazanie, w jaki sposób skarga została załatwiona, oraz podpis z podaniem imienia, nazwiska i stanowiska służbowego osoby upoważnionej do załatwienia skargi. Zawiadomienie o odmownym załatwieniu skargi powinno zawierać ponadto uzasadnienie faktyczne i prawne oraz pouczenie o treści art. 239 k.p.a.</w:t>
      </w:r>
    </w:p>
    <w:p w14:paraId="3C77FE6B" w14:textId="77777777" w:rsidR="00FE6090" w:rsidRPr="00AF71F5" w:rsidRDefault="00FE6090" w:rsidP="00FE6090">
      <w:pPr>
        <w:jc w:val="both"/>
        <w:rPr>
          <w:sz w:val="26"/>
          <w:szCs w:val="26"/>
        </w:rPr>
      </w:pPr>
    </w:p>
    <w:p w14:paraId="626834C6" w14:textId="77777777" w:rsidR="00FE6090" w:rsidRPr="00AF71F5" w:rsidRDefault="00FE6090" w:rsidP="00FE6090">
      <w:pPr>
        <w:jc w:val="both"/>
        <w:rPr>
          <w:sz w:val="26"/>
          <w:szCs w:val="26"/>
        </w:rPr>
      </w:pPr>
      <w:r w:rsidRPr="00AF71F5">
        <w:rPr>
          <w:sz w:val="26"/>
          <w:szCs w:val="26"/>
        </w:rPr>
        <w:t>Zgodnie z art. 239 k.p.a. 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6CE3AEBD" w14:textId="77777777" w:rsidR="00AF71F5" w:rsidRDefault="00AF71F5" w:rsidP="00FE6090">
      <w:pPr>
        <w:jc w:val="both"/>
        <w:rPr>
          <w:sz w:val="26"/>
          <w:szCs w:val="26"/>
        </w:rPr>
      </w:pPr>
    </w:p>
    <w:p w14:paraId="7EB7A158" w14:textId="77777777" w:rsidR="00AF71F5" w:rsidRPr="00AF71F5" w:rsidRDefault="00AF71F5" w:rsidP="00FE6090">
      <w:pPr>
        <w:jc w:val="both"/>
        <w:rPr>
          <w:sz w:val="26"/>
          <w:szCs w:val="26"/>
        </w:rPr>
      </w:pPr>
    </w:p>
    <w:p w14:paraId="52BD6AF7" w14:textId="77777777" w:rsidR="00FE6090" w:rsidRPr="00AF71F5" w:rsidRDefault="00FE6090" w:rsidP="00FE6090">
      <w:pPr>
        <w:jc w:val="both"/>
        <w:rPr>
          <w:sz w:val="26"/>
          <w:szCs w:val="26"/>
        </w:rPr>
      </w:pPr>
    </w:p>
    <w:p w14:paraId="47BD7A2B" w14:textId="77777777" w:rsidR="00FE6090" w:rsidRPr="00AF71F5" w:rsidRDefault="00FE6090" w:rsidP="00FE6090">
      <w:pPr>
        <w:numPr>
          <w:ilvl w:val="0"/>
          <w:numId w:val="47"/>
        </w:numPr>
        <w:jc w:val="both"/>
        <w:rPr>
          <w:b/>
          <w:bCs/>
          <w:sz w:val="26"/>
          <w:szCs w:val="26"/>
        </w:rPr>
      </w:pPr>
      <w:r w:rsidRPr="00AF71F5">
        <w:rPr>
          <w:b/>
          <w:bCs/>
          <w:sz w:val="26"/>
          <w:szCs w:val="26"/>
        </w:rPr>
        <w:lastRenderedPageBreak/>
        <w:t>Statystyki dotyczące skarg pasażerów</w:t>
      </w:r>
    </w:p>
    <w:p w14:paraId="000FC0A5" w14:textId="77777777" w:rsidR="00AF71F5" w:rsidRPr="00AF71F5" w:rsidRDefault="00AF71F5" w:rsidP="00FE6090">
      <w:pPr>
        <w:ind w:left="1080"/>
        <w:jc w:val="both"/>
        <w:rPr>
          <w:b/>
          <w:bCs/>
          <w:sz w:val="26"/>
          <w:szCs w:val="26"/>
        </w:rPr>
      </w:pPr>
    </w:p>
    <w:p w14:paraId="0CA637B2" w14:textId="77777777" w:rsidR="00FE6090" w:rsidRPr="00AF71F5" w:rsidRDefault="00FE6090" w:rsidP="00FE6090">
      <w:pPr>
        <w:jc w:val="both"/>
        <w:rPr>
          <w:sz w:val="26"/>
          <w:szCs w:val="26"/>
        </w:rPr>
      </w:pPr>
      <w:r w:rsidRPr="00AF71F5">
        <w:rPr>
          <w:sz w:val="26"/>
          <w:szCs w:val="26"/>
        </w:rPr>
        <w:t xml:space="preserve">W okresie obejmującym lata 2021 – 2022 do Dyrektora Urzędu Morskiego w Gdyni nie wpłynęła żadna skarga na przewoźnika lub operatora terminalu. </w:t>
      </w:r>
    </w:p>
    <w:p w14:paraId="5FB3616F" w14:textId="77777777" w:rsidR="00FE6090" w:rsidRPr="00AF71F5" w:rsidRDefault="00FE6090" w:rsidP="00FE6090">
      <w:pPr>
        <w:jc w:val="both"/>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92"/>
        <w:gridCol w:w="1134"/>
        <w:gridCol w:w="1134"/>
        <w:gridCol w:w="1134"/>
        <w:gridCol w:w="1134"/>
        <w:gridCol w:w="993"/>
        <w:gridCol w:w="992"/>
        <w:gridCol w:w="283"/>
        <w:gridCol w:w="851"/>
      </w:tblGrid>
      <w:tr w:rsidR="00FE6090" w:rsidRPr="00AF71F5" w14:paraId="73A2235D" w14:textId="77777777" w:rsidTr="00235F42">
        <w:trPr>
          <w:trHeight w:val="278"/>
        </w:trPr>
        <w:tc>
          <w:tcPr>
            <w:tcW w:w="704" w:type="dxa"/>
            <w:vMerge w:val="restart"/>
            <w:shd w:val="clear" w:color="auto" w:fill="auto"/>
          </w:tcPr>
          <w:p w14:paraId="7FADBAE2" w14:textId="77777777" w:rsidR="00FE6090" w:rsidRPr="00AF71F5" w:rsidRDefault="00FE6090" w:rsidP="00CD59E8">
            <w:pPr>
              <w:jc w:val="center"/>
              <w:rPr>
                <w:sz w:val="22"/>
                <w:szCs w:val="22"/>
              </w:rPr>
            </w:pPr>
            <w:r w:rsidRPr="00AF71F5">
              <w:rPr>
                <w:sz w:val="22"/>
                <w:szCs w:val="22"/>
              </w:rPr>
              <w:t>Rok</w:t>
            </w:r>
          </w:p>
        </w:tc>
        <w:tc>
          <w:tcPr>
            <w:tcW w:w="992" w:type="dxa"/>
            <w:vMerge w:val="restart"/>
            <w:shd w:val="clear" w:color="auto" w:fill="auto"/>
          </w:tcPr>
          <w:p w14:paraId="46E76EF4" w14:textId="77777777" w:rsidR="00FE6090" w:rsidRPr="00AF71F5" w:rsidRDefault="00FE6090" w:rsidP="00CD59E8">
            <w:pPr>
              <w:jc w:val="center"/>
              <w:rPr>
                <w:sz w:val="22"/>
                <w:szCs w:val="22"/>
              </w:rPr>
            </w:pPr>
            <w:r w:rsidRPr="00AF71F5">
              <w:rPr>
                <w:sz w:val="22"/>
                <w:szCs w:val="22"/>
              </w:rPr>
              <w:t xml:space="preserve">Ogólna liczba skarg </w:t>
            </w:r>
          </w:p>
        </w:tc>
        <w:tc>
          <w:tcPr>
            <w:tcW w:w="6804" w:type="dxa"/>
            <w:gridSpan w:val="7"/>
            <w:shd w:val="clear" w:color="auto" w:fill="auto"/>
          </w:tcPr>
          <w:p w14:paraId="37987469" w14:textId="77777777" w:rsidR="00FE6090" w:rsidRPr="00AF71F5" w:rsidRDefault="00FE6090" w:rsidP="00CD59E8">
            <w:pPr>
              <w:jc w:val="center"/>
              <w:rPr>
                <w:sz w:val="22"/>
                <w:szCs w:val="22"/>
              </w:rPr>
            </w:pPr>
            <w:r w:rsidRPr="00AF71F5">
              <w:rPr>
                <w:sz w:val="22"/>
                <w:szCs w:val="22"/>
              </w:rPr>
              <w:t>Powód reklamacji</w:t>
            </w:r>
          </w:p>
        </w:tc>
        <w:tc>
          <w:tcPr>
            <w:tcW w:w="851" w:type="dxa"/>
            <w:vMerge w:val="restart"/>
            <w:shd w:val="clear" w:color="auto" w:fill="auto"/>
          </w:tcPr>
          <w:p w14:paraId="6EB6BDF4" w14:textId="77777777" w:rsidR="00FE6090" w:rsidRPr="00AF71F5" w:rsidRDefault="00FE6090" w:rsidP="00CD59E8">
            <w:pPr>
              <w:jc w:val="center"/>
              <w:rPr>
                <w:sz w:val="22"/>
                <w:szCs w:val="22"/>
              </w:rPr>
            </w:pPr>
            <w:r w:rsidRPr="00AF71F5">
              <w:rPr>
                <w:sz w:val="22"/>
                <w:szCs w:val="22"/>
              </w:rPr>
              <w:t>Uwagi</w:t>
            </w:r>
          </w:p>
        </w:tc>
      </w:tr>
      <w:tr w:rsidR="00FE6090" w:rsidRPr="00AF71F5" w14:paraId="5C3391DE" w14:textId="77777777" w:rsidTr="00235F42">
        <w:trPr>
          <w:trHeight w:val="277"/>
        </w:trPr>
        <w:tc>
          <w:tcPr>
            <w:tcW w:w="704" w:type="dxa"/>
            <w:vMerge/>
            <w:shd w:val="clear" w:color="auto" w:fill="auto"/>
          </w:tcPr>
          <w:p w14:paraId="2E338C04" w14:textId="77777777" w:rsidR="00FE6090" w:rsidRPr="00AF71F5" w:rsidRDefault="00FE6090" w:rsidP="00CD59E8">
            <w:pPr>
              <w:rPr>
                <w:sz w:val="22"/>
                <w:szCs w:val="22"/>
              </w:rPr>
            </w:pPr>
          </w:p>
        </w:tc>
        <w:tc>
          <w:tcPr>
            <w:tcW w:w="992" w:type="dxa"/>
            <w:vMerge/>
            <w:shd w:val="clear" w:color="auto" w:fill="auto"/>
          </w:tcPr>
          <w:p w14:paraId="0A8F3838" w14:textId="77777777" w:rsidR="00FE6090" w:rsidRPr="00AF71F5" w:rsidRDefault="00FE6090" w:rsidP="00CD59E8">
            <w:pPr>
              <w:rPr>
                <w:sz w:val="22"/>
                <w:szCs w:val="22"/>
              </w:rPr>
            </w:pPr>
          </w:p>
        </w:tc>
        <w:tc>
          <w:tcPr>
            <w:tcW w:w="1134" w:type="dxa"/>
            <w:shd w:val="clear" w:color="auto" w:fill="auto"/>
          </w:tcPr>
          <w:p w14:paraId="336C69C0" w14:textId="77777777" w:rsidR="00FE6090" w:rsidRPr="00235F42" w:rsidRDefault="00FE6090" w:rsidP="00CD59E8">
            <w:pPr>
              <w:rPr>
                <w:sz w:val="20"/>
                <w:szCs w:val="20"/>
              </w:rPr>
            </w:pPr>
            <w:r w:rsidRPr="00235F42">
              <w:rPr>
                <w:sz w:val="20"/>
                <w:szCs w:val="20"/>
              </w:rPr>
              <w:t xml:space="preserve">Dostęp i informacja (art.9) </w:t>
            </w:r>
          </w:p>
        </w:tc>
        <w:tc>
          <w:tcPr>
            <w:tcW w:w="1134" w:type="dxa"/>
            <w:shd w:val="clear" w:color="auto" w:fill="auto"/>
          </w:tcPr>
          <w:p w14:paraId="6121C76F" w14:textId="77777777" w:rsidR="00FE6090" w:rsidRPr="00235F42" w:rsidRDefault="00FE6090" w:rsidP="00CD59E8">
            <w:pPr>
              <w:rPr>
                <w:sz w:val="20"/>
                <w:szCs w:val="20"/>
              </w:rPr>
            </w:pPr>
            <w:r w:rsidRPr="00235F42">
              <w:rPr>
                <w:sz w:val="20"/>
                <w:szCs w:val="20"/>
              </w:rPr>
              <w:t>Prawo do uzyskania pomocy (art. 10)</w:t>
            </w:r>
          </w:p>
        </w:tc>
        <w:tc>
          <w:tcPr>
            <w:tcW w:w="1134" w:type="dxa"/>
            <w:shd w:val="clear" w:color="auto" w:fill="auto"/>
          </w:tcPr>
          <w:p w14:paraId="67ECE19C" w14:textId="77777777" w:rsidR="00FE6090" w:rsidRPr="00235F42" w:rsidRDefault="00FE6090" w:rsidP="00CD59E8">
            <w:pPr>
              <w:rPr>
                <w:sz w:val="20"/>
                <w:szCs w:val="20"/>
              </w:rPr>
            </w:pPr>
            <w:r w:rsidRPr="00235F42">
              <w:rPr>
                <w:sz w:val="20"/>
                <w:szCs w:val="20"/>
              </w:rPr>
              <w:t xml:space="preserve">Związek z niepełnosprawnością (art. 15) </w:t>
            </w:r>
          </w:p>
        </w:tc>
        <w:tc>
          <w:tcPr>
            <w:tcW w:w="1134" w:type="dxa"/>
            <w:shd w:val="clear" w:color="auto" w:fill="auto"/>
          </w:tcPr>
          <w:p w14:paraId="05981A48" w14:textId="77777777" w:rsidR="00FE6090" w:rsidRPr="00235F42" w:rsidRDefault="00FE6090" w:rsidP="00CD59E8">
            <w:pPr>
              <w:rPr>
                <w:sz w:val="20"/>
                <w:szCs w:val="20"/>
              </w:rPr>
            </w:pPr>
            <w:r w:rsidRPr="00235F42">
              <w:rPr>
                <w:sz w:val="20"/>
                <w:szCs w:val="20"/>
              </w:rPr>
              <w:t>Odwołanie lub opóźnienie (art. 17)</w:t>
            </w:r>
          </w:p>
        </w:tc>
        <w:tc>
          <w:tcPr>
            <w:tcW w:w="993" w:type="dxa"/>
            <w:shd w:val="clear" w:color="auto" w:fill="auto"/>
          </w:tcPr>
          <w:p w14:paraId="3734F241" w14:textId="77777777" w:rsidR="00FE6090" w:rsidRPr="00235F42" w:rsidRDefault="00FE6090" w:rsidP="00CD59E8">
            <w:pPr>
              <w:rPr>
                <w:sz w:val="20"/>
                <w:szCs w:val="20"/>
              </w:rPr>
            </w:pPr>
            <w:r w:rsidRPr="00235F42">
              <w:rPr>
                <w:sz w:val="20"/>
                <w:szCs w:val="20"/>
              </w:rPr>
              <w:t>Zmiana trasy i zwrot kosztów (art. 18)</w:t>
            </w:r>
          </w:p>
        </w:tc>
        <w:tc>
          <w:tcPr>
            <w:tcW w:w="992" w:type="dxa"/>
            <w:shd w:val="clear" w:color="auto" w:fill="auto"/>
          </w:tcPr>
          <w:p w14:paraId="053E8700" w14:textId="77777777" w:rsidR="00FE6090" w:rsidRPr="00235F42" w:rsidRDefault="00FE6090" w:rsidP="00CD59E8">
            <w:pPr>
              <w:rPr>
                <w:sz w:val="20"/>
                <w:szCs w:val="20"/>
              </w:rPr>
            </w:pPr>
            <w:r w:rsidRPr="00235F42">
              <w:rPr>
                <w:sz w:val="20"/>
                <w:szCs w:val="20"/>
              </w:rPr>
              <w:t>Odszkodowanie (art 19)</w:t>
            </w:r>
          </w:p>
        </w:tc>
        <w:tc>
          <w:tcPr>
            <w:tcW w:w="283" w:type="dxa"/>
            <w:shd w:val="clear" w:color="auto" w:fill="auto"/>
          </w:tcPr>
          <w:p w14:paraId="4ACDC73E" w14:textId="77777777" w:rsidR="00FE6090" w:rsidRPr="00235F42" w:rsidRDefault="00FE6090" w:rsidP="00CD59E8">
            <w:pPr>
              <w:rPr>
                <w:sz w:val="20"/>
                <w:szCs w:val="20"/>
              </w:rPr>
            </w:pPr>
            <w:r w:rsidRPr="00235F42">
              <w:rPr>
                <w:sz w:val="20"/>
                <w:szCs w:val="20"/>
              </w:rPr>
              <w:t xml:space="preserve">Inne </w:t>
            </w:r>
          </w:p>
        </w:tc>
        <w:tc>
          <w:tcPr>
            <w:tcW w:w="851" w:type="dxa"/>
            <w:vMerge/>
            <w:shd w:val="clear" w:color="auto" w:fill="auto"/>
          </w:tcPr>
          <w:p w14:paraId="536170DC" w14:textId="77777777" w:rsidR="00FE6090" w:rsidRPr="00AF71F5" w:rsidRDefault="00FE6090" w:rsidP="00CD59E8">
            <w:pPr>
              <w:rPr>
                <w:sz w:val="22"/>
                <w:szCs w:val="22"/>
              </w:rPr>
            </w:pPr>
          </w:p>
        </w:tc>
      </w:tr>
      <w:tr w:rsidR="00FE6090" w:rsidRPr="00AF71F5" w14:paraId="1072FFB7" w14:textId="77777777" w:rsidTr="00235F42">
        <w:trPr>
          <w:trHeight w:val="265"/>
        </w:trPr>
        <w:tc>
          <w:tcPr>
            <w:tcW w:w="704" w:type="dxa"/>
            <w:shd w:val="clear" w:color="auto" w:fill="auto"/>
          </w:tcPr>
          <w:p w14:paraId="416FEBB5" w14:textId="77777777" w:rsidR="00FE6090" w:rsidRPr="00AF71F5" w:rsidRDefault="00FE6090" w:rsidP="00CD59E8">
            <w:pPr>
              <w:rPr>
                <w:sz w:val="22"/>
                <w:szCs w:val="22"/>
              </w:rPr>
            </w:pPr>
            <w:r w:rsidRPr="00AF71F5">
              <w:rPr>
                <w:sz w:val="22"/>
                <w:szCs w:val="22"/>
              </w:rPr>
              <w:t>2021</w:t>
            </w:r>
          </w:p>
        </w:tc>
        <w:tc>
          <w:tcPr>
            <w:tcW w:w="992" w:type="dxa"/>
            <w:shd w:val="clear" w:color="auto" w:fill="auto"/>
          </w:tcPr>
          <w:p w14:paraId="7DB25478" w14:textId="77777777" w:rsidR="00FE6090" w:rsidRPr="00AF71F5" w:rsidRDefault="00FE6090" w:rsidP="00CD59E8">
            <w:pPr>
              <w:jc w:val="center"/>
              <w:rPr>
                <w:sz w:val="22"/>
                <w:szCs w:val="22"/>
              </w:rPr>
            </w:pPr>
            <w:r w:rsidRPr="00AF71F5">
              <w:rPr>
                <w:sz w:val="22"/>
                <w:szCs w:val="22"/>
              </w:rPr>
              <w:t>0</w:t>
            </w:r>
          </w:p>
        </w:tc>
        <w:tc>
          <w:tcPr>
            <w:tcW w:w="1134" w:type="dxa"/>
            <w:shd w:val="clear" w:color="auto" w:fill="auto"/>
          </w:tcPr>
          <w:p w14:paraId="3D5F7801"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128B944F"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0FC55B4A"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214BEF64" w14:textId="77777777" w:rsidR="00FE6090" w:rsidRPr="00AF71F5" w:rsidRDefault="00FE6090" w:rsidP="00CD59E8">
            <w:pPr>
              <w:jc w:val="center"/>
              <w:rPr>
                <w:sz w:val="22"/>
                <w:szCs w:val="22"/>
              </w:rPr>
            </w:pPr>
            <w:r w:rsidRPr="00AF71F5">
              <w:rPr>
                <w:sz w:val="22"/>
                <w:szCs w:val="22"/>
              </w:rPr>
              <w:t>-</w:t>
            </w:r>
          </w:p>
        </w:tc>
        <w:tc>
          <w:tcPr>
            <w:tcW w:w="993" w:type="dxa"/>
            <w:shd w:val="clear" w:color="auto" w:fill="auto"/>
          </w:tcPr>
          <w:p w14:paraId="792B8A12" w14:textId="77777777" w:rsidR="00FE6090" w:rsidRPr="00AF71F5" w:rsidRDefault="00FE6090" w:rsidP="00CD59E8">
            <w:pPr>
              <w:jc w:val="center"/>
              <w:rPr>
                <w:sz w:val="22"/>
                <w:szCs w:val="22"/>
              </w:rPr>
            </w:pPr>
            <w:r w:rsidRPr="00AF71F5">
              <w:rPr>
                <w:sz w:val="22"/>
                <w:szCs w:val="22"/>
              </w:rPr>
              <w:t>-</w:t>
            </w:r>
          </w:p>
        </w:tc>
        <w:tc>
          <w:tcPr>
            <w:tcW w:w="992" w:type="dxa"/>
            <w:shd w:val="clear" w:color="auto" w:fill="auto"/>
          </w:tcPr>
          <w:p w14:paraId="165CBDF7" w14:textId="77777777" w:rsidR="00FE6090" w:rsidRPr="00AF71F5" w:rsidRDefault="00FE6090" w:rsidP="00CD59E8">
            <w:pPr>
              <w:jc w:val="center"/>
              <w:rPr>
                <w:sz w:val="22"/>
                <w:szCs w:val="22"/>
              </w:rPr>
            </w:pPr>
            <w:r w:rsidRPr="00AF71F5">
              <w:rPr>
                <w:sz w:val="22"/>
                <w:szCs w:val="22"/>
              </w:rPr>
              <w:t>-</w:t>
            </w:r>
          </w:p>
        </w:tc>
        <w:tc>
          <w:tcPr>
            <w:tcW w:w="283" w:type="dxa"/>
            <w:shd w:val="clear" w:color="auto" w:fill="auto"/>
          </w:tcPr>
          <w:p w14:paraId="7EF07615" w14:textId="77777777" w:rsidR="00FE6090" w:rsidRPr="00AF71F5" w:rsidRDefault="00FE6090" w:rsidP="00CD59E8">
            <w:pPr>
              <w:jc w:val="center"/>
              <w:rPr>
                <w:sz w:val="22"/>
                <w:szCs w:val="22"/>
              </w:rPr>
            </w:pPr>
            <w:r w:rsidRPr="00AF71F5">
              <w:rPr>
                <w:sz w:val="22"/>
                <w:szCs w:val="22"/>
              </w:rPr>
              <w:t>-</w:t>
            </w:r>
          </w:p>
        </w:tc>
        <w:tc>
          <w:tcPr>
            <w:tcW w:w="851" w:type="dxa"/>
            <w:shd w:val="clear" w:color="auto" w:fill="auto"/>
          </w:tcPr>
          <w:p w14:paraId="69EEFD29" w14:textId="77777777" w:rsidR="00FE6090" w:rsidRPr="00AF71F5" w:rsidRDefault="00FE6090" w:rsidP="00CD59E8">
            <w:pPr>
              <w:jc w:val="center"/>
              <w:rPr>
                <w:sz w:val="22"/>
                <w:szCs w:val="22"/>
              </w:rPr>
            </w:pPr>
            <w:r w:rsidRPr="00AF71F5">
              <w:rPr>
                <w:sz w:val="22"/>
                <w:szCs w:val="22"/>
              </w:rPr>
              <w:t>-</w:t>
            </w:r>
          </w:p>
        </w:tc>
      </w:tr>
      <w:tr w:rsidR="00FE6090" w:rsidRPr="00AF71F5" w14:paraId="44C1ABF1" w14:textId="77777777" w:rsidTr="00235F42">
        <w:trPr>
          <w:trHeight w:val="331"/>
        </w:trPr>
        <w:tc>
          <w:tcPr>
            <w:tcW w:w="704" w:type="dxa"/>
            <w:shd w:val="clear" w:color="auto" w:fill="auto"/>
          </w:tcPr>
          <w:p w14:paraId="26C8BF96" w14:textId="77777777" w:rsidR="00FE6090" w:rsidRPr="00AF71F5" w:rsidRDefault="00FE6090" w:rsidP="00CD59E8">
            <w:pPr>
              <w:rPr>
                <w:sz w:val="22"/>
                <w:szCs w:val="22"/>
              </w:rPr>
            </w:pPr>
            <w:r w:rsidRPr="00AF71F5">
              <w:rPr>
                <w:sz w:val="22"/>
                <w:szCs w:val="22"/>
              </w:rPr>
              <w:t>2022</w:t>
            </w:r>
          </w:p>
        </w:tc>
        <w:tc>
          <w:tcPr>
            <w:tcW w:w="992" w:type="dxa"/>
            <w:shd w:val="clear" w:color="auto" w:fill="auto"/>
          </w:tcPr>
          <w:p w14:paraId="7E6AA87E" w14:textId="77777777" w:rsidR="00FE6090" w:rsidRPr="00AF71F5" w:rsidRDefault="00FE6090" w:rsidP="00CD59E8">
            <w:pPr>
              <w:jc w:val="center"/>
              <w:rPr>
                <w:sz w:val="22"/>
                <w:szCs w:val="22"/>
              </w:rPr>
            </w:pPr>
            <w:r w:rsidRPr="00AF71F5">
              <w:rPr>
                <w:sz w:val="22"/>
                <w:szCs w:val="22"/>
              </w:rPr>
              <w:t>0</w:t>
            </w:r>
          </w:p>
        </w:tc>
        <w:tc>
          <w:tcPr>
            <w:tcW w:w="1134" w:type="dxa"/>
            <w:shd w:val="clear" w:color="auto" w:fill="auto"/>
          </w:tcPr>
          <w:p w14:paraId="5CCEE328"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07ED5944"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3786301D" w14:textId="77777777" w:rsidR="00FE6090" w:rsidRPr="00AF71F5" w:rsidRDefault="00FE6090" w:rsidP="00CD59E8">
            <w:pPr>
              <w:jc w:val="center"/>
              <w:rPr>
                <w:sz w:val="22"/>
                <w:szCs w:val="22"/>
              </w:rPr>
            </w:pPr>
            <w:r w:rsidRPr="00AF71F5">
              <w:rPr>
                <w:sz w:val="22"/>
                <w:szCs w:val="22"/>
              </w:rPr>
              <w:t>-</w:t>
            </w:r>
          </w:p>
        </w:tc>
        <w:tc>
          <w:tcPr>
            <w:tcW w:w="1134" w:type="dxa"/>
            <w:shd w:val="clear" w:color="auto" w:fill="auto"/>
          </w:tcPr>
          <w:p w14:paraId="31F09B08" w14:textId="77777777" w:rsidR="00FE6090" w:rsidRPr="00AF71F5" w:rsidRDefault="00FE6090" w:rsidP="00CD59E8">
            <w:pPr>
              <w:jc w:val="center"/>
              <w:rPr>
                <w:sz w:val="22"/>
                <w:szCs w:val="22"/>
              </w:rPr>
            </w:pPr>
            <w:r w:rsidRPr="00AF71F5">
              <w:rPr>
                <w:sz w:val="22"/>
                <w:szCs w:val="22"/>
              </w:rPr>
              <w:t>-</w:t>
            </w:r>
          </w:p>
        </w:tc>
        <w:tc>
          <w:tcPr>
            <w:tcW w:w="993" w:type="dxa"/>
            <w:shd w:val="clear" w:color="auto" w:fill="auto"/>
          </w:tcPr>
          <w:p w14:paraId="76785B38" w14:textId="77777777" w:rsidR="00FE6090" w:rsidRPr="00AF71F5" w:rsidRDefault="00FE6090" w:rsidP="00CD59E8">
            <w:pPr>
              <w:jc w:val="center"/>
              <w:rPr>
                <w:sz w:val="22"/>
                <w:szCs w:val="22"/>
              </w:rPr>
            </w:pPr>
            <w:r w:rsidRPr="00AF71F5">
              <w:rPr>
                <w:sz w:val="22"/>
                <w:szCs w:val="22"/>
              </w:rPr>
              <w:t>-</w:t>
            </w:r>
          </w:p>
        </w:tc>
        <w:tc>
          <w:tcPr>
            <w:tcW w:w="992" w:type="dxa"/>
            <w:shd w:val="clear" w:color="auto" w:fill="auto"/>
          </w:tcPr>
          <w:p w14:paraId="025060F8" w14:textId="77777777" w:rsidR="00FE6090" w:rsidRPr="00AF71F5" w:rsidRDefault="00FE6090" w:rsidP="00CD59E8">
            <w:pPr>
              <w:jc w:val="center"/>
              <w:rPr>
                <w:sz w:val="22"/>
                <w:szCs w:val="22"/>
              </w:rPr>
            </w:pPr>
            <w:r w:rsidRPr="00AF71F5">
              <w:rPr>
                <w:sz w:val="22"/>
                <w:szCs w:val="22"/>
              </w:rPr>
              <w:t>-</w:t>
            </w:r>
          </w:p>
        </w:tc>
        <w:tc>
          <w:tcPr>
            <w:tcW w:w="283" w:type="dxa"/>
            <w:shd w:val="clear" w:color="auto" w:fill="auto"/>
          </w:tcPr>
          <w:p w14:paraId="60A4B3AD" w14:textId="77777777" w:rsidR="00FE6090" w:rsidRPr="00AF71F5" w:rsidRDefault="00FE6090" w:rsidP="00CD59E8">
            <w:pPr>
              <w:jc w:val="center"/>
              <w:rPr>
                <w:sz w:val="22"/>
                <w:szCs w:val="22"/>
              </w:rPr>
            </w:pPr>
            <w:r w:rsidRPr="00AF71F5">
              <w:rPr>
                <w:sz w:val="22"/>
                <w:szCs w:val="22"/>
              </w:rPr>
              <w:t>-</w:t>
            </w:r>
          </w:p>
        </w:tc>
        <w:tc>
          <w:tcPr>
            <w:tcW w:w="851" w:type="dxa"/>
            <w:shd w:val="clear" w:color="auto" w:fill="auto"/>
          </w:tcPr>
          <w:p w14:paraId="298DECC9" w14:textId="77777777" w:rsidR="00FE6090" w:rsidRPr="00AF71F5" w:rsidRDefault="00FE6090" w:rsidP="00CD59E8">
            <w:pPr>
              <w:jc w:val="center"/>
              <w:rPr>
                <w:sz w:val="22"/>
                <w:szCs w:val="22"/>
              </w:rPr>
            </w:pPr>
            <w:r w:rsidRPr="00AF71F5">
              <w:rPr>
                <w:sz w:val="22"/>
                <w:szCs w:val="22"/>
              </w:rPr>
              <w:t>-</w:t>
            </w:r>
          </w:p>
        </w:tc>
      </w:tr>
    </w:tbl>
    <w:p w14:paraId="54EE1CFC" w14:textId="77777777" w:rsidR="00FE6090" w:rsidRPr="00AF71F5" w:rsidRDefault="00FE6090" w:rsidP="00FE6090">
      <w:pPr>
        <w:jc w:val="both"/>
        <w:rPr>
          <w:sz w:val="26"/>
          <w:szCs w:val="26"/>
        </w:rPr>
      </w:pPr>
    </w:p>
    <w:p w14:paraId="4DDAC09E" w14:textId="77777777" w:rsidR="00FE6090" w:rsidRPr="00AF71F5" w:rsidRDefault="00FE6090" w:rsidP="00FE6090">
      <w:pPr>
        <w:jc w:val="both"/>
        <w:rPr>
          <w:sz w:val="26"/>
          <w:szCs w:val="26"/>
        </w:rPr>
      </w:pPr>
    </w:p>
    <w:p w14:paraId="5C1C5BC4" w14:textId="77777777" w:rsidR="00FE6090" w:rsidRPr="00AF71F5" w:rsidRDefault="00FE6090" w:rsidP="00FE6090">
      <w:pPr>
        <w:jc w:val="both"/>
        <w:rPr>
          <w:sz w:val="26"/>
          <w:szCs w:val="26"/>
        </w:rPr>
      </w:pPr>
      <w:r w:rsidRPr="00AF71F5">
        <w:rPr>
          <w:sz w:val="26"/>
          <w:szCs w:val="26"/>
        </w:rPr>
        <w:t xml:space="preserve">Przewoźnicy/operatorzy terminali operujący w obszarze właściwości terytorialnej Dyrektora Urzędu Morskiego w Gdyni  nie prowadzą osobnych rejestrów czy statystyk dotyczących składanych reklamacji. W praktyce reklamacje często składane są w formie ustnej lub telefonicznej i zazwyczaj rozpatrywane są od razu lub niezwłocznie w sposób ukierunkowany na znalezienie satysfakcjonującego rozwiązania dla pasażera. </w:t>
      </w:r>
    </w:p>
    <w:p w14:paraId="72717A02" w14:textId="77777777" w:rsidR="00AF71F5" w:rsidRPr="00AF71F5" w:rsidRDefault="00AF71F5" w:rsidP="00FE6090">
      <w:pPr>
        <w:ind w:left="1080"/>
        <w:jc w:val="both"/>
        <w:rPr>
          <w:sz w:val="26"/>
          <w:szCs w:val="26"/>
        </w:rPr>
      </w:pPr>
    </w:p>
    <w:p w14:paraId="6780DACF" w14:textId="77777777" w:rsidR="00FE6090" w:rsidRPr="00AF71F5" w:rsidRDefault="00FE6090" w:rsidP="00FE6090">
      <w:pPr>
        <w:numPr>
          <w:ilvl w:val="0"/>
          <w:numId w:val="47"/>
        </w:numPr>
        <w:jc w:val="both"/>
        <w:rPr>
          <w:b/>
          <w:bCs/>
          <w:sz w:val="26"/>
          <w:szCs w:val="26"/>
        </w:rPr>
      </w:pPr>
      <w:r w:rsidRPr="00AF71F5">
        <w:rPr>
          <w:b/>
          <w:bCs/>
          <w:sz w:val="26"/>
          <w:szCs w:val="26"/>
        </w:rPr>
        <w:t>Sankcje i kary pieniężne</w:t>
      </w:r>
    </w:p>
    <w:p w14:paraId="55571F59" w14:textId="77777777" w:rsidR="00FE6090" w:rsidRPr="00AF71F5" w:rsidRDefault="00FE6090" w:rsidP="00FE6090">
      <w:pPr>
        <w:jc w:val="both"/>
        <w:rPr>
          <w:sz w:val="26"/>
          <w:szCs w:val="26"/>
        </w:rPr>
      </w:pPr>
    </w:p>
    <w:p w14:paraId="0A5A859B" w14:textId="77777777" w:rsidR="00FE6090" w:rsidRPr="00AF71F5" w:rsidRDefault="00FE6090" w:rsidP="00FE6090">
      <w:pPr>
        <w:jc w:val="both"/>
        <w:rPr>
          <w:sz w:val="26"/>
          <w:szCs w:val="26"/>
        </w:rPr>
      </w:pPr>
      <w:r w:rsidRPr="00AF71F5">
        <w:rPr>
          <w:sz w:val="26"/>
          <w:szCs w:val="26"/>
        </w:rPr>
        <w:t>W przypadku stwierdzenia naruszenia prawa przez przewoźnika lub operatora terminalu, w rozumieniu rozporządzenia nr 1177/2010, dyrektor urzędu morskiego określa, w drodze decyzji administracyjnej, zakres stwierdzonych nieprawidłowości oraz wyznacza termin ich usunięcia.</w:t>
      </w:r>
    </w:p>
    <w:p w14:paraId="4DC450D7" w14:textId="77777777" w:rsidR="00FE6090" w:rsidRPr="00AF71F5" w:rsidRDefault="00FE6090" w:rsidP="00FE6090">
      <w:pPr>
        <w:jc w:val="both"/>
        <w:rPr>
          <w:sz w:val="26"/>
          <w:szCs w:val="26"/>
        </w:rPr>
      </w:pPr>
    </w:p>
    <w:p w14:paraId="7F5E3785" w14:textId="77777777" w:rsidR="00FE6090" w:rsidRPr="00AF71F5" w:rsidRDefault="00FE6090" w:rsidP="00FE6090">
      <w:pPr>
        <w:jc w:val="both"/>
        <w:rPr>
          <w:sz w:val="26"/>
          <w:szCs w:val="26"/>
        </w:rPr>
      </w:pPr>
      <w:r w:rsidRPr="00AF71F5">
        <w:rPr>
          <w:sz w:val="26"/>
          <w:szCs w:val="26"/>
        </w:rPr>
        <w:t>Przewoźnik, operator terminalu lub sprzedawca biletów, w rozumieniu rozporządzenia nr 1177/2010, którzy działają z naruszeniem obowiązków lub warunków określonych w art. 4 ust. 2, art. 7, art. 8 ust. 2, 3 i 5, art. 9 ust. 1, 2 i 4, art. 10, art. 11 ust. 1, 4 i 5, art. 12–19, art. 22, art. 23 ust. 1 i 3 oraz art. 24 rozporządzenia nr 1177/2010, podlegają karze pieniężnej do 50 000 zł</w:t>
      </w:r>
      <w:r w:rsidRPr="00AF71F5">
        <w:rPr>
          <w:rStyle w:val="Odwoanieprzypisudolnego"/>
          <w:sz w:val="26"/>
          <w:szCs w:val="26"/>
        </w:rPr>
        <w:footnoteReference w:id="8"/>
      </w:r>
      <w:r w:rsidRPr="00AF71F5">
        <w:rPr>
          <w:sz w:val="26"/>
          <w:szCs w:val="26"/>
        </w:rPr>
        <w:t>.</w:t>
      </w:r>
    </w:p>
    <w:p w14:paraId="5C84ED57" w14:textId="77777777" w:rsidR="00FE6090" w:rsidRPr="00AF71F5" w:rsidRDefault="00FE6090" w:rsidP="00FE6090">
      <w:pPr>
        <w:jc w:val="both"/>
        <w:rPr>
          <w:sz w:val="26"/>
          <w:szCs w:val="26"/>
        </w:rPr>
      </w:pPr>
    </w:p>
    <w:p w14:paraId="7291FE8A" w14:textId="77777777" w:rsidR="00FE6090" w:rsidRPr="00AF71F5" w:rsidRDefault="00FE6090" w:rsidP="00FE6090">
      <w:pPr>
        <w:jc w:val="both"/>
        <w:rPr>
          <w:sz w:val="26"/>
          <w:szCs w:val="26"/>
        </w:rPr>
      </w:pPr>
      <w:r w:rsidRPr="00AF71F5">
        <w:rPr>
          <w:sz w:val="26"/>
          <w:szCs w:val="26"/>
        </w:rPr>
        <w:t xml:space="preserve">Karę pieniężną wymierza dyrektor urzędu morskiego w drodze decyzji administracyjnej z uwzględnieniem zakresu naruszenia, powtarzalności naruszeń lub korzyści finansowych uzyskanych z tytułu naruszenia. Od decyzji przysługuje odwołanie do ministra właściwego do spraw gospodarki morskiej. </w:t>
      </w:r>
    </w:p>
    <w:p w14:paraId="65DEEF76" w14:textId="77777777" w:rsidR="00FE6090" w:rsidRPr="00AF71F5" w:rsidRDefault="00FE6090" w:rsidP="00FE6090">
      <w:pPr>
        <w:jc w:val="both"/>
        <w:rPr>
          <w:sz w:val="26"/>
          <w:szCs w:val="26"/>
        </w:rPr>
      </w:pPr>
    </w:p>
    <w:p w14:paraId="34958179" w14:textId="77777777" w:rsidR="00FE6090" w:rsidRPr="00AF71F5" w:rsidRDefault="00FE6090" w:rsidP="00FE6090">
      <w:pPr>
        <w:jc w:val="both"/>
        <w:rPr>
          <w:sz w:val="26"/>
          <w:szCs w:val="26"/>
        </w:rPr>
      </w:pPr>
      <w:r w:rsidRPr="00AF71F5">
        <w:rPr>
          <w:sz w:val="26"/>
          <w:szCs w:val="26"/>
        </w:rPr>
        <w:t xml:space="preserve">W okresie obejmującym lata 2021 - 2022 nie wydano w stosunku do przewoźnika lub operatora terminalu decyzji administracyjnych określających zakres stwierdzonych nieprawidłowości. </w:t>
      </w:r>
    </w:p>
    <w:p w14:paraId="6694BF3E" w14:textId="77777777" w:rsidR="00FE6090" w:rsidRPr="00AF71F5" w:rsidRDefault="00FE6090" w:rsidP="00FE6090">
      <w:pPr>
        <w:jc w:val="both"/>
        <w:rPr>
          <w:sz w:val="26"/>
          <w:szCs w:val="26"/>
        </w:rPr>
      </w:pPr>
    </w:p>
    <w:p w14:paraId="7379A7E1" w14:textId="77777777" w:rsidR="00FE6090" w:rsidRPr="00AF71F5" w:rsidRDefault="00FE6090" w:rsidP="00FE6090">
      <w:pPr>
        <w:jc w:val="both"/>
        <w:rPr>
          <w:sz w:val="26"/>
          <w:szCs w:val="26"/>
        </w:rPr>
      </w:pPr>
      <w:r w:rsidRPr="00AF71F5">
        <w:rPr>
          <w:sz w:val="26"/>
          <w:szCs w:val="26"/>
        </w:rPr>
        <w:t>W okresie obejmującym lata 2021 – 2022 nie nałożono kar pieniężnych na przewoźników, operatorów terminali lub sprzedawców biletów.</w:t>
      </w:r>
    </w:p>
    <w:p w14:paraId="1D2A5455" w14:textId="77777777" w:rsidR="00FE6090" w:rsidRPr="00AF71F5" w:rsidRDefault="00FE6090" w:rsidP="00FE6090">
      <w:pPr>
        <w:jc w:val="both"/>
        <w:rPr>
          <w:sz w:val="26"/>
          <w:szCs w:val="26"/>
        </w:rPr>
      </w:pPr>
    </w:p>
    <w:p w14:paraId="0ED9F4D5" w14:textId="77777777" w:rsidR="00AF71F5" w:rsidRPr="00AF71F5" w:rsidRDefault="00AF71F5" w:rsidP="00FE6090">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3897"/>
        <w:gridCol w:w="3988"/>
      </w:tblGrid>
      <w:tr w:rsidR="00FE6090" w:rsidRPr="00AF71F5" w14:paraId="5FDFBF3D" w14:textId="77777777" w:rsidTr="00CD59E8">
        <w:tc>
          <w:tcPr>
            <w:tcW w:w="1188" w:type="dxa"/>
            <w:shd w:val="clear" w:color="auto" w:fill="auto"/>
          </w:tcPr>
          <w:p w14:paraId="7BF20270" w14:textId="77777777" w:rsidR="00FE6090" w:rsidRPr="00AF71F5" w:rsidRDefault="00FE6090" w:rsidP="00CD59E8">
            <w:pPr>
              <w:autoSpaceDE w:val="0"/>
              <w:autoSpaceDN w:val="0"/>
              <w:adjustRightInd w:val="0"/>
              <w:jc w:val="center"/>
              <w:rPr>
                <w:sz w:val="22"/>
                <w:szCs w:val="22"/>
              </w:rPr>
            </w:pPr>
            <w:r w:rsidRPr="00AF71F5">
              <w:rPr>
                <w:sz w:val="22"/>
                <w:szCs w:val="22"/>
              </w:rPr>
              <w:t>Rok</w:t>
            </w:r>
          </w:p>
        </w:tc>
        <w:tc>
          <w:tcPr>
            <w:tcW w:w="3960" w:type="dxa"/>
            <w:shd w:val="clear" w:color="auto" w:fill="auto"/>
          </w:tcPr>
          <w:p w14:paraId="0E54806C" w14:textId="77777777" w:rsidR="00FE6090" w:rsidRPr="00AF71F5" w:rsidRDefault="00FE6090" w:rsidP="00CD59E8">
            <w:pPr>
              <w:autoSpaceDE w:val="0"/>
              <w:autoSpaceDN w:val="0"/>
              <w:adjustRightInd w:val="0"/>
              <w:jc w:val="center"/>
              <w:rPr>
                <w:sz w:val="22"/>
                <w:szCs w:val="22"/>
              </w:rPr>
            </w:pPr>
            <w:r w:rsidRPr="00AF71F5">
              <w:rPr>
                <w:sz w:val="22"/>
                <w:szCs w:val="22"/>
              </w:rPr>
              <w:t>Liczba decyzji nakładających karę pieniężną</w:t>
            </w:r>
          </w:p>
        </w:tc>
        <w:tc>
          <w:tcPr>
            <w:tcW w:w="4062" w:type="dxa"/>
            <w:shd w:val="clear" w:color="auto" w:fill="auto"/>
          </w:tcPr>
          <w:p w14:paraId="5ACF5AEB" w14:textId="77777777" w:rsidR="00FE6090" w:rsidRPr="00AF71F5" w:rsidRDefault="00FE6090" w:rsidP="00CD59E8">
            <w:pPr>
              <w:autoSpaceDE w:val="0"/>
              <w:autoSpaceDN w:val="0"/>
              <w:adjustRightInd w:val="0"/>
              <w:jc w:val="center"/>
              <w:rPr>
                <w:sz w:val="22"/>
                <w:szCs w:val="22"/>
              </w:rPr>
            </w:pPr>
            <w:r w:rsidRPr="00AF71F5">
              <w:rPr>
                <w:sz w:val="22"/>
                <w:szCs w:val="22"/>
              </w:rPr>
              <w:t>Wysokość kary</w:t>
            </w:r>
          </w:p>
        </w:tc>
      </w:tr>
      <w:tr w:rsidR="00FE6090" w:rsidRPr="00AF71F5" w14:paraId="2000D13B" w14:textId="77777777" w:rsidTr="00CD59E8">
        <w:tc>
          <w:tcPr>
            <w:tcW w:w="1188" w:type="dxa"/>
            <w:shd w:val="clear" w:color="auto" w:fill="auto"/>
          </w:tcPr>
          <w:p w14:paraId="25B86725" w14:textId="77777777" w:rsidR="00FE6090" w:rsidRPr="00AF71F5" w:rsidRDefault="00FE6090" w:rsidP="00CD59E8">
            <w:pPr>
              <w:autoSpaceDE w:val="0"/>
              <w:autoSpaceDN w:val="0"/>
              <w:adjustRightInd w:val="0"/>
              <w:jc w:val="center"/>
              <w:rPr>
                <w:sz w:val="22"/>
                <w:szCs w:val="22"/>
              </w:rPr>
            </w:pPr>
            <w:r w:rsidRPr="00AF71F5">
              <w:rPr>
                <w:sz w:val="22"/>
                <w:szCs w:val="22"/>
              </w:rPr>
              <w:t>2021</w:t>
            </w:r>
          </w:p>
        </w:tc>
        <w:tc>
          <w:tcPr>
            <w:tcW w:w="3960" w:type="dxa"/>
            <w:shd w:val="clear" w:color="auto" w:fill="auto"/>
          </w:tcPr>
          <w:p w14:paraId="2E59C412" w14:textId="77777777" w:rsidR="00FE6090" w:rsidRPr="00AF71F5" w:rsidRDefault="00FE6090" w:rsidP="00CD59E8">
            <w:pPr>
              <w:autoSpaceDE w:val="0"/>
              <w:autoSpaceDN w:val="0"/>
              <w:adjustRightInd w:val="0"/>
              <w:jc w:val="center"/>
              <w:rPr>
                <w:sz w:val="22"/>
                <w:szCs w:val="22"/>
              </w:rPr>
            </w:pPr>
            <w:r w:rsidRPr="00AF71F5">
              <w:rPr>
                <w:sz w:val="22"/>
                <w:szCs w:val="22"/>
              </w:rPr>
              <w:t>0</w:t>
            </w:r>
          </w:p>
        </w:tc>
        <w:tc>
          <w:tcPr>
            <w:tcW w:w="4062" w:type="dxa"/>
            <w:shd w:val="clear" w:color="auto" w:fill="auto"/>
          </w:tcPr>
          <w:p w14:paraId="44C3A0E9" w14:textId="77777777" w:rsidR="00FE6090" w:rsidRPr="00AF71F5" w:rsidRDefault="00FE6090" w:rsidP="00CD59E8">
            <w:pPr>
              <w:autoSpaceDE w:val="0"/>
              <w:autoSpaceDN w:val="0"/>
              <w:adjustRightInd w:val="0"/>
              <w:jc w:val="center"/>
              <w:rPr>
                <w:sz w:val="22"/>
                <w:szCs w:val="22"/>
              </w:rPr>
            </w:pPr>
            <w:r w:rsidRPr="00AF71F5">
              <w:rPr>
                <w:sz w:val="22"/>
                <w:szCs w:val="22"/>
              </w:rPr>
              <w:t>-</w:t>
            </w:r>
          </w:p>
        </w:tc>
      </w:tr>
      <w:tr w:rsidR="00FE6090" w:rsidRPr="00AF71F5" w14:paraId="63048619" w14:textId="77777777" w:rsidTr="00CD59E8">
        <w:tc>
          <w:tcPr>
            <w:tcW w:w="1188" w:type="dxa"/>
            <w:shd w:val="clear" w:color="auto" w:fill="auto"/>
          </w:tcPr>
          <w:p w14:paraId="5A677BF4" w14:textId="77777777" w:rsidR="00FE6090" w:rsidRPr="00AF71F5" w:rsidRDefault="00FE6090" w:rsidP="00CD59E8">
            <w:pPr>
              <w:autoSpaceDE w:val="0"/>
              <w:autoSpaceDN w:val="0"/>
              <w:adjustRightInd w:val="0"/>
              <w:jc w:val="center"/>
              <w:rPr>
                <w:sz w:val="22"/>
                <w:szCs w:val="22"/>
              </w:rPr>
            </w:pPr>
            <w:r w:rsidRPr="00AF71F5">
              <w:rPr>
                <w:sz w:val="22"/>
                <w:szCs w:val="22"/>
              </w:rPr>
              <w:t>2022</w:t>
            </w:r>
          </w:p>
        </w:tc>
        <w:tc>
          <w:tcPr>
            <w:tcW w:w="3960" w:type="dxa"/>
            <w:shd w:val="clear" w:color="auto" w:fill="auto"/>
          </w:tcPr>
          <w:p w14:paraId="4F0B3055" w14:textId="77777777" w:rsidR="00FE6090" w:rsidRPr="00AF71F5" w:rsidRDefault="00FE6090" w:rsidP="00CD59E8">
            <w:pPr>
              <w:autoSpaceDE w:val="0"/>
              <w:autoSpaceDN w:val="0"/>
              <w:adjustRightInd w:val="0"/>
              <w:jc w:val="center"/>
              <w:rPr>
                <w:sz w:val="22"/>
                <w:szCs w:val="22"/>
              </w:rPr>
            </w:pPr>
            <w:r w:rsidRPr="00AF71F5">
              <w:rPr>
                <w:sz w:val="22"/>
                <w:szCs w:val="22"/>
              </w:rPr>
              <w:t>0</w:t>
            </w:r>
          </w:p>
        </w:tc>
        <w:tc>
          <w:tcPr>
            <w:tcW w:w="4062" w:type="dxa"/>
            <w:shd w:val="clear" w:color="auto" w:fill="auto"/>
          </w:tcPr>
          <w:p w14:paraId="7B4A0DE8" w14:textId="77777777" w:rsidR="00FE6090" w:rsidRPr="00AF71F5" w:rsidRDefault="00FE6090" w:rsidP="00CD59E8">
            <w:pPr>
              <w:autoSpaceDE w:val="0"/>
              <w:autoSpaceDN w:val="0"/>
              <w:adjustRightInd w:val="0"/>
              <w:jc w:val="center"/>
              <w:rPr>
                <w:sz w:val="22"/>
                <w:szCs w:val="22"/>
              </w:rPr>
            </w:pPr>
            <w:r w:rsidRPr="00AF71F5">
              <w:rPr>
                <w:sz w:val="22"/>
                <w:szCs w:val="22"/>
              </w:rPr>
              <w:t>-</w:t>
            </w:r>
          </w:p>
        </w:tc>
      </w:tr>
    </w:tbl>
    <w:p w14:paraId="3BC792F1" w14:textId="77777777" w:rsidR="00AF71F5" w:rsidRPr="00AF71F5" w:rsidRDefault="00AF71F5" w:rsidP="00FE6090">
      <w:pPr>
        <w:jc w:val="both"/>
        <w:rPr>
          <w:sz w:val="26"/>
          <w:szCs w:val="26"/>
        </w:rPr>
      </w:pPr>
    </w:p>
    <w:p w14:paraId="7A2AF066" w14:textId="77777777" w:rsidR="00FE6090" w:rsidRPr="00AF71F5" w:rsidRDefault="00FE6090" w:rsidP="00FE6090">
      <w:pPr>
        <w:jc w:val="both"/>
        <w:rPr>
          <w:sz w:val="26"/>
          <w:szCs w:val="26"/>
        </w:rPr>
      </w:pPr>
    </w:p>
    <w:p w14:paraId="5C556A1F" w14:textId="77777777" w:rsidR="00FE6090" w:rsidRPr="00AF71F5" w:rsidRDefault="00FE6090" w:rsidP="00FE6090">
      <w:pPr>
        <w:numPr>
          <w:ilvl w:val="0"/>
          <w:numId w:val="47"/>
        </w:numPr>
        <w:jc w:val="both"/>
        <w:rPr>
          <w:b/>
          <w:bCs/>
          <w:sz w:val="26"/>
          <w:szCs w:val="26"/>
        </w:rPr>
      </w:pPr>
      <w:r w:rsidRPr="00AF71F5">
        <w:rPr>
          <w:b/>
          <w:bCs/>
          <w:sz w:val="26"/>
          <w:szCs w:val="26"/>
        </w:rPr>
        <w:t>Działania mające na celu implementację i monitorowanie przepisów rozporządzenia</w:t>
      </w:r>
    </w:p>
    <w:p w14:paraId="53D504D9" w14:textId="77777777" w:rsidR="00FE6090" w:rsidRPr="00AF71F5" w:rsidRDefault="00FE6090" w:rsidP="00FE6090">
      <w:pPr>
        <w:jc w:val="both"/>
        <w:rPr>
          <w:sz w:val="26"/>
          <w:szCs w:val="26"/>
        </w:rPr>
      </w:pPr>
    </w:p>
    <w:p w14:paraId="2E27CDA7" w14:textId="77777777" w:rsidR="00FE6090" w:rsidRPr="00AF71F5" w:rsidRDefault="00FE6090" w:rsidP="00FE6090">
      <w:pPr>
        <w:jc w:val="both"/>
        <w:rPr>
          <w:sz w:val="26"/>
          <w:szCs w:val="26"/>
        </w:rPr>
      </w:pPr>
      <w:r w:rsidRPr="00AF71F5">
        <w:rPr>
          <w:sz w:val="26"/>
          <w:szCs w:val="26"/>
        </w:rPr>
        <w:t>Działania kontrolne w zakresie funkcjonowania systemu praw pasażerów Dyrektor Urzędu Morskiego w Gdyni prowadzi w oparciu o przepisy ustawy o obszarach morskich RP i administracji morskiej poprzez kapitanaty portów. Funkcjonariusze kapitanatów portów mają prawo kontrolowania, czy przewoźnik, operator terminalu lub sprzedawca biletów wypełniają obowiązki określone w rozporządzeniu nr 1177/2010.</w:t>
      </w:r>
    </w:p>
    <w:p w14:paraId="48094AD2" w14:textId="77777777" w:rsidR="00FE6090" w:rsidRPr="00AF71F5" w:rsidRDefault="00FE6090" w:rsidP="00FE6090">
      <w:pPr>
        <w:jc w:val="both"/>
        <w:rPr>
          <w:sz w:val="26"/>
          <w:szCs w:val="26"/>
        </w:rPr>
      </w:pPr>
    </w:p>
    <w:p w14:paraId="27883B40" w14:textId="77777777" w:rsidR="00FE6090" w:rsidRPr="00AF71F5" w:rsidRDefault="00FE6090" w:rsidP="00FE6090">
      <w:pPr>
        <w:jc w:val="both"/>
        <w:rPr>
          <w:sz w:val="26"/>
          <w:szCs w:val="26"/>
        </w:rPr>
      </w:pPr>
      <w:r w:rsidRPr="00AF71F5">
        <w:rPr>
          <w:sz w:val="26"/>
          <w:szCs w:val="26"/>
        </w:rPr>
        <w:t xml:space="preserve">Kontrole przeprowadzone w latach 2021 oraz 2022 nie wykazały działań będących w sprzeczności z rozporządzeniem nr 1177/2010. </w:t>
      </w:r>
    </w:p>
    <w:p w14:paraId="3055BB60" w14:textId="77777777" w:rsidR="00FE6090" w:rsidRPr="00AF71F5" w:rsidRDefault="00FE6090" w:rsidP="00FE6090">
      <w:pPr>
        <w:jc w:val="both"/>
        <w:rPr>
          <w:sz w:val="26"/>
          <w:szCs w:val="26"/>
        </w:rPr>
      </w:pPr>
    </w:p>
    <w:p w14:paraId="64022365" w14:textId="77777777" w:rsidR="00FE6090" w:rsidRPr="00AF71F5" w:rsidRDefault="00FE6090" w:rsidP="00FE6090">
      <w:pPr>
        <w:ind w:left="1440"/>
        <w:jc w:val="both"/>
        <w:rPr>
          <w:sz w:val="26"/>
          <w:szCs w:val="26"/>
        </w:rPr>
      </w:pPr>
    </w:p>
    <w:p w14:paraId="4114CB82" w14:textId="77777777" w:rsidR="00FE6090" w:rsidRPr="00AF71F5" w:rsidRDefault="00FE6090" w:rsidP="00FE6090">
      <w:pPr>
        <w:numPr>
          <w:ilvl w:val="0"/>
          <w:numId w:val="47"/>
        </w:numPr>
        <w:jc w:val="both"/>
        <w:rPr>
          <w:b/>
          <w:bCs/>
          <w:sz w:val="26"/>
          <w:szCs w:val="26"/>
        </w:rPr>
      </w:pPr>
      <w:r w:rsidRPr="00AF71F5">
        <w:rPr>
          <w:b/>
          <w:bCs/>
          <w:sz w:val="26"/>
          <w:szCs w:val="26"/>
        </w:rPr>
        <w:t>Podsumowanie i zmiany jakie zaszły w porównaniu do poprzedniego raportu.</w:t>
      </w:r>
    </w:p>
    <w:p w14:paraId="55D010B1" w14:textId="77777777" w:rsidR="00FE6090" w:rsidRPr="00AF71F5" w:rsidRDefault="00FE6090" w:rsidP="00FE6090">
      <w:pPr>
        <w:rPr>
          <w:b/>
          <w:sz w:val="26"/>
          <w:szCs w:val="26"/>
        </w:rPr>
      </w:pPr>
    </w:p>
    <w:p w14:paraId="2A1D47AB" w14:textId="77777777" w:rsidR="00FE6090" w:rsidRPr="00AF71F5" w:rsidRDefault="00FE6090" w:rsidP="00FE6090">
      <w:pPr>
        <w:jc w:val="both"/>
        <w:rPr>
          <w:bCs/>
          <w:sz w:val="26"/>
          <w:szCs w:val="26"/>
        </w:rPr>
      </w:pPr>
      <w:r w:rsidRPr="00AF71F5">
        <w:rPr>
          <w:bCs/>
          <w:sz w:val="26"/>
          <w:szCs w:val="26"/>
        </w:rPr>
        <w:t xml:space="preserve">System praw pasażerów podróżujących drogą morską w Polsce funkcjonuje prawidłowo. </w:t>
      </w:r>
    </w:p>
    <w:p w14:paraId="40533E24" w14:textId="77777777" w:rsidR="00FE6090" w:rsidRPr="00AF71F5" w:rsidRDefault="00FE6090" w:rsidP="00FE6090">
      <w:pPr>
        <w:jc w:val="both"/>
        <w:rPr>
          <w:bCs/>
          <w:sz w:val="26"/>
          <w:szCs w:val="26"/>
        </w:rPr>
      </w:pPr>
    </w:p>
    <w:p w14:paraId="5483CECF" w14:textId="77777777" w:rsidR="00FE6090" w:rsidRPr="00AF71F5" w:rsidRDefault="00FE6090" w:rsidP="00FE6090">
      <w:pPr>
        <w:jc w:val="both"/>
        <w:rPr>
          <w:bCs/>
          <w:sz w:val="26"/>
          <w:szCs w:val="26"/>
        </w:rPr>
      </w:pPr>
      <w:r w:rsidRPr="00AF71F5">
        <w:rPr>
          <w:bCs/>
          <w:sz w:val="26"/>
          <w:szCs w:val="26"/>
        </w:rPr>
        <w:t xml:space="preserve">Dyrektor Urzędu Morskiego w Gdyni nie dopatrzył się utrudnień czy naruszenia przepisów dotyczących praw pasażerów pomimo zwiększenia ruchu pasażerskiego w porównaniu do poprzedniego okresu sprawozdawczego (lata 2019 – 2021). </w:t>
      </w:r>
    </w:p>
    <w:p w14:paraId="5FA1ABF8" w14:textId="77777777" w:rsidR="00FE6090" w:rsidRPr="00AF71F5" w:rsidRDefault="00FE6090" w:rsidP="00FE6090">
      <w:pPr>
        <w:jc w:val="both"/>
        <w:rPr>
          <w:bCs/>
          <w:sz w:val="26"/>
          <w:szCs w:val="26"/>
        </w:rPr>
      </w:pPr>
    </w:p>
    <w:p w14:paraId="584F41F4" w14:textId="77777777" w:rsidR="00FE6090" w:rsidRPr="00AF71F5" w:rsidRDefault="00FE6090" w:rsidP="00FE6090">
      <w:pPr>
        <w:jc w:val="both"/>
        <w:rPr>
          <w:bCs/>
          <w:sz w:val="26"/>
          <w:szCs w:val="26"/>
        </w:rPr>
      </w:pPr>
      <w:r w:rsidRPr="00AF71F5">
        <w:rPr>
          <w:bCs/>
          <w:sz w:val="26"/>
          <w:szCs w:val="26"/>
        </w:rPr>
        <w:t xml:space="preserve">W roku 2021, po przerwie spowodowanej zagrożeniem epidemicznym wywołanym zakażeniami wirusem SARS-CoV-2, Urząd Morski w Gdyni wznowił przeprowadzanie kontroli na terminalach pasażerskich. </w:t>
      </w:r>
    </w:p>
    <w:p w14:paraId="73A206F4" w14:textId="77777777" w:rsidR="00FE6090" w:rsidRPr="00AF71F5" w:rsidRDefault="00FE6090" w:rsidP="00FE6090">
      <w:pPr>
        <w:rPr>
          <w:b/>
          <w:sz w:val="26"/>
          <w:szCs w:val="26"/>
        </w:rPr>
      </w:pPr>
    </w:p>
    <w:p w14:paraId="057D2775" w14:textId="77777777" w:rsidR="00FE6090" w:rsidRPr="00AF71F5" w:rsidRDefault="00FE6090" w:rsidP="00FE6090">
      <w:pPr>
        <w:rPr>
          <w:sz w:val="26"/>
          <w:szCs w:val="26"/>
        </w:rPr>
      </w:pPr>
    </w:p>
    <w:p w14:paraId="37C36E10" w14:textId="77777777" w:rsidR="0048682C" w:rsidRPr="00AF71F5" w:rsidRDefault="0048682C" w:rsidP="0048682C">
      <w:pPr>
        <w:rPr>
          <w:sz w:val="26"/>
          <w:szCs w:val="26"/>
        </w:rPr>
      </w:pPr>
    </w:p>
    <w:sectPr w:rsidR="0048682C" w:rsidRPr="00AF71F5">
      <w:footerReference w:type="default" r:id="rId12"/>
      <w:headerReference w:type="first" r:id="rId13"/>
      <w:footerReference w:type="first" r:id="rId14"/>
      <w:pgSz w:w="11906" w:h="16838"/>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E301" w14:textId="77777777" w:rsidR="00A5709B" w:rsidRDefault="00A5709B">
      <w:r>
        <w:separator/>
      </w:r>
    </w:p>
  </w:endnote>
  <w:endnote w:type="continuationSeparator" w:id="0">
    <w:p w14:paraId="07F985CB" w14:textId="77777777" w:rsidR="00A5709B" w:rsidRDefault="00A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288793"/>
      <w:docPartObj>
        <w:docPartGallery w:val="Page Numbers (Bottom of Page)"/>
        <w:docPartUnique/>
      </w:docPartObj>
    </w:sdtPr>
    <w:sdtContent>
      <w:p w14:paraId="3CCDAE28" w14:textId="2D160297" w:rsidR="00235F42" w:rsidRDefault="00235F42">
        <w:pPr>
          <w:pStyle w:val="Stopka"/>
          <w:jc w:val="right"/>
        </w:pPr>
        <w:r>
          <w:fldChar w:fldCharType="begin"/>
        </w:r>
        <w:r>
          <w:instrText>PAGE   \* MERGEFORMAT</w:instrText>
        </w:r>
        <w:r>
          <w:fldChar w:fldCharType="separate"/>
        </w:r>
        <w:r>
          <w:t>2</w:t>
        </w:r>
        <w:r>
          <w:fldChar w:fldCharType="end"/>
        </w:r>
      </w:p>
    </w:sdtContent>
  </w:sdt>
  <w:p w14:paraId="22DD621A" w14:textId="057069F2" w:rsidR="001E3C9D" w:rsidRDefault="001E3C9D">
    <w:pPr>
      <w:pStyle w:val="Stopka"/>
      <w:tabs>
        <w:tab w:val="clear" w:pos="453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6C5B" w14:textId="63D73510" w:rsidR="001E3C9D" w:rsidRPr="009F4BE1" w:rsidRDefault="001E3C9D" w:rsidP="0037468A">
    <w:pPr>
      <w:pStyle w:val="Stopka"/>
      <w:tabs>
        <w:tab w:val="clear" w:pos="4536"/>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A8A6" w14:textId="77777777" w:rsidR="00A5709B" w:rsidRDefault="00A5709B">
      <w:r>
        <w:separator/>
      </w:r>
    </w:p>
  </w:footnote>
  <w:footnote w:type="continuationSeparator" w:id="0">
    <w:p w14:paraId="491C09EC" w14:textId="77777777" w:rsidR="00A5709B" w:rsidRDefault="00A5709B">
      <w:r>
        <w:continuationSeparator/>
      </w:r>
    </w:p>
  </w:footnote>
  <w:footnote w:id="1">
    <w:p w14:paraId="2D5F6D6D" w14:textId="77777777" w:rsidR="00FE6090" w:rsidRDefault="00FE6090" w:rsidP="00FE6090">
      <w:pPr>
        <w:jc w:val="both"/>
      </w:pPr>
      <w:r>
        <w:rPr>
          <w:rStyle w:val="Odwoanieprzypisudolnego"/>
        </w:rPr>
        <w:footnoteRef/>
      </w:r>
      <w:r>
        <w:t xml:space="preserve"> </w:t>
      </w:r>
      <w:r w:rsidRPr="007D5536">
        <w:rPr>
          <w:sz w:val="18"/>
          <w:szCs w:val="18"/>
        </w:rPr>
        <w:t>Ustawa z dnia 21 czerwca 2013 r. o zmianie niektórych ustaw dotyczących praw pasażerów podróżujących droga morską i drogą wodną śródlądową (Dz. U. z 2013 r. poz. 1014, z 2014 r. poz. 1554, z 2016 r.  poz. 1954)</w:t>
      </w:r>
    </w:p>
  </w:footnote>
  <w:footnote w:id="2">
    <w:p w14:paraId="40F5B1BC" w14:textId="123561E3" w:rsidR="00FE6090" w:rsidRDefault="00FE6090" w:rsidP="00FE6090">
      <w:pPr>
        <w:pStyle w:val="Tekstprzypisudolnego"/>
      </w:pPr>
      <w:r>
        <w:rPr>
          <w:rStyle w:val="Odwoanieprzypisudolnego"/>
        </w:rPr>
        <w:footnoteRef/>
      </w:r>
      <w:r>
        <w:t xml:space="preserve"> Dz. U. z 2013 r.</w:t>
      </w:r>
      <w:r w:rsidR="00235F42">
        <w:t>,</w:t>
      </w:r>
      <w:r>
        <w:t xml:space="preserve"> poz. 1073</w:t>
      </w:r>
    </w:p>
  </w:footnote>
  <w:footnote w:id="3">
    <w:p w14:paraId="2CB0498C" w14:textId="77777777" w:rsidR="00FE6090" w:rsidRDefault="00FE6090" w:rsidP="00FE6090">
      <w:pPr>
        <w:pStyle w:val="Tekstprzypisudolnego"/>
        <w:jc w:val="both"/>
      </w:pPr>
      <w:r>
        <w:rPr>
          <w:rStyle w:val="Odwoanieprzypisudolnego"/>
        </w:rPr>
        <w:footnoteRef/>
      </w:r>
      <w:r>
        <w:t xml:space="preserve"> Rozporządzenie Ministra Transportu i Gospodarki Morskiej z dnia 7 października 1991 r. w sprawie utworzenia urzędów morskich, określenia ich siedzib oraz terytorialnego zakresu działania dyrektorów urzędów morskich (t. j. Dz. U. z 2021 r., poz. 1339)</w:t>
      </w:r>
    </w:p>
  </w:footnote>
  <w:footnote w:id="4">
    <w:p w14:paraId="020247F2" w14:textId="77777777" w:rsidR="00FE6090" w:rsidRDefault="00FE6090" w:rsidP="00FE6090">
      <w:pPr>
        <w:pStyle w:val="Tekstprzypisudolnego"/>
      </w:pPr>
      <w:r>
        <w:rPr>
          <w:rStyle w:val="Odwoanieprzypisudolnego"/>
        </w:rPr>
        <w:footnoteRef/>
      </w:r>
      <w:r>
        <w:t xml:space="preserve"> </w:t>
      </w:r>
      <w:r w:rsidRPr="00E1345B">
        <w:t>www.umgdy.gov.pl/procedura/skargi-w-sprawie-naruszenia-praw-pasazerow-podrozujacych-droga-morska</w:t>
      </w:r>
    </w:p>
  </w:footnote>
  <w:footnote w:id="5">
    <w:p w14:paraId="2C8EB85A" w14:textId="0D457336" w:rsidR="00FE6090" w:rsidRDefault="00FE6090" w:rsidP="00FE6090">
      <w:pPr>
        <w:pStyle w:val="Tekstprzypisudolnego"/>
      </w:pPr>
      <w:r>
        <w:rPr>
          <w:rStyle w:val="Odwoanieprzypisudolnego"/>
        </w:rPr>
        <w:footnoteRef/>
      </w:r>
      <w:r>
        <w:t xml:space="preserve"> </w:t>
      </w:r>
      <w:r w:rsidRPr="002E267F">
        <w:t xml:space="preserve">Źródło danych </w:t>
      </w:r>
      <w:r w:rsidR="00BB3017">
        <w:t xml:space="preserve">– </w:t>
      </w:r>
      <w:r w:rsidRPr="002E267F">
        <w:t>GUS</w:t>
      </w:r>
      <w:r w:rsidR="00BB3017">
        <w:t xml:space="preserve"> (Główny Urząd Statystyczny)</w:t>
      </w:r>
    </w:p>
  </w:footnote>
  <w:footnote w:id="6">
    <w:p w14:paraId="7A431954" w14:textId="77777777" w:rsidR="00FE6090" w:rsidRDefault="00FE6090" w:rsidP="00FE6090">
      <w:pPr>
        <w:pStyle w:val="Tekstprzypisudolnego"/>
      </w:pPr>
      <w:r>
        <w:rPr>
          <w:rStyle w:val="Odwoanieprzypisudolnego"/>
        </w:rPr>
        <w:footnoteRef/>
      </w:r>
      <w:r>
        <w:t xml:space="preserve"> </w:t>
      </w:r>
      <w:proofErr w:type="spellStart"/>
      <w:r>
        <w:t>t.j</w:t>
      </w:r>
      <w:proofErr w:type="spellEnd"/>
      <w:r>
        <w:t>. Dz. U. z 2022 r., poz.457, 1079, 1250, 1604, 2185, 2515, 2687, z 2023 r. poz. 261</w:t>
      </w:r>
    </w:p>
  </w:footnote>
  <w:footnote w:id="7">
    <w:p w14:paraId="7B2FAB0A" w14:textId="77777777" w:rsidR="00FE6090" w:rsidRDefault="00FE6090" w:rsidP="00FE6090">
      <w:pPr>
        <w:pStyle w:val="Tekstprzypisudolnego"/>
      </w:pPr>
      <w:r>
        <w:rPr>
          <w:rStyle w:val="Odwoanieprzypisudolnego"/>
        </w:rPr>
        <w:footnoteRef/>
      </w:r>
      <w:r>
        <w:t xml:space="preserve"> </w:t>
      </w:r>
      <w:proofErr w:type="spellStart"/>
      <w:r>
        <w:t>t.j</w:t>
      </w:r>
      <w:proofErr w:type="spellEnd"/>
      <w:r>
        <w:t>. Dz. U. z 2023 r., poz. 775</w:t>
      </w:r>
    </w:p>
  </w:footnote>
  <w:footnote w:id="8">
    <w:p w14:paraId="6EC1A4D4" w14:textId="77777777" w:rsidR="00FE6090" w:rsidRDefault="00FE6090" w:rsidP="00FE6090">
      <w:pPr>
        <w:pStyle w:val="Tekstprzypisudolnego"/>
      </w:pPr>
      <w:r>
        <w:rPr>
          <w:rStyle w:val="Odwoanieprzypisudolnego"/>
        </w:rPr>
        <w:footnoteRef/>
      </w:r>
      <w:r>
        <w:t xml:space="preserve"> Art. 56a ust.1 ustawy </w:t>
      </w:r>
      <w:bookmarkStart w:id="0" w:name="_Hlk135135571"/>
      <w:r>
        <w:t xml:space="preserve">o obszarach morskich RP i administracji morskiej </w:t>
      </w:r>
      <w:bookmarkEnd w:id="0"/>
      <w:r>
        <w:t>(Dz. U. z 2022 r., poz.457, 1079, 1250, 1604, 2185, 2515, 2687, z 2023 r. poz. 261)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522A" w14:textId="0E36F368" w:rsidR="001E3C9D" w:rsidRDefault="00E56623">
    <w:pPr>
      <w:pStyle w:val="Nagwek"/>
      <w:tabs>
        <w:tab w:val="clear" w:pos="4536"/>
      </w:tabs>
      <w:ind w:left="-709"/>
    </w:pPr>
    <w:r>
      <w:rPr>
        <w:noProof/>
      </w:rPr>
      <mc:AlternateContent>
        <mc:Choice Requires="wps">
          <w:drawing>
            <wp:anchor distT="0" distB="0" distL="114300" distR="114300" simplePos="0" relativeHeight="251658240" behindDoc="0" locked="0" layoutInCell="0" allowOverlap="1" wp14:anchorId="3F9034FC" wp14:editId="541D9701">
              <wp:simplePos x="0" y="0"/>
              <wp:positionH relativeFrom="column">
                <wp:posOffset>563245</wp:posOffset>
              </wp:positionH>
              <wp:positionV relativeFrom="paragraph">
                <wp:posOffset>829945</wp:posOffset>
              </wp:positionV>
              <wp:extent cx="5486400" cy="0"/>
              <wp:effectExtent l="10795" t="10795" r="825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B7C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65.35pt" to="476.3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" o:allowincell="f"/>
          </w:pict>
        </mc:Fallback>
      </mc:AlternateContent>
    </w:r>
    <w:r>
      <w:rPr>
        <w:noProof/>
      </w:rPr>
      <mc:AlternateContent>
        <mc:Choice Requires="wps">
          <w:drawing>
            <wp:anchor distT="0" distB="0" distL="114300" distR="114300" simplePos="0" relativeHeight="251657216" behindDoc="0" locked="0" layoutInCell="0" allowOverlap="1" wp14:anchorId="1A4D824A" wp14:editId="07695E20">
              <wp:simplePos x="0" y="0"/>
              <wp:positionH relativeFrom="column">
                <wp:posOffset>654685</wp:posOffset>
              </wp:positionH>
              <wp:positionV relativeFrom="paragraph">
                <wp:posOffset>6985</wp:posOffset>
              </wp:positionV>
              <wp:extent cx="5120640" cy="548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2DCF7" w14:textId="77777777" w:rsidR="001E3C9D" w:rsidRDefault="001E3C9D">
                          <w:pPr>
                            <w:pStyle w:val="Nagwek1"/>
                            <w:spacing w:before="240"/>
                            <w:ind w:right="-585"/>
                          </w:pPr>
                          <w:r>
                            <w:t>URZĄD MORSKI W GDYNI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D824A" id="_x0000_t202" coordsize="21600,21600" o:spt="202" path="m,l,21600r21600,l21600,xe">
              <v:stroke joinstyle="miter"/>
              <v:path gradientshapeok="t" o:connecttype="rect"/>
            </v:shapetype>
            <v:shape id="Text Box 1" o:spid="_x0000_s1026" type="#_x0000_t202" style="position:absolute;left:0;text-align:left;margin-left:51.55pt;margin-top:.55pt;width:403.2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" o:allowincell="f" stroked="f">
              <v:textbox>
                <w:txbxContent>
                  <w:p w14:paraId="56F2DCF7" w14:textId="77777777" w:rsidR="001E3C9D" w:rsidRDefault="001E3C9D">
                    <w:pPr>
                      <w:pStyle w:val="Nagwek1"/>
                      <w:spacing w:before="240"/>
                      <w:ind w:right="-585"/>
                    </w:pPr>
                    <w:r>
                      <w:t>URZĄD MORSKI W GDYNI</w:t>
                    </w:r>
                  </w:p>
                </w:txbxContent>
              </v:textbox>
            </v:shape>
          </w:pict>
        </mc:Fallback>
      </mc:AlternateContent>
    </w:r>
    <w:r w:rsidR="001E3C9D">
      <w:rPr>
        <w:noProof/>
      </w:rPr>
      <w:drawing>
        <wp:inline distT="0" distB="0" distL="0" distR="0" wp14:anchorId="2A8C0316" wp14:editId="585F314B">
          <wp:extent cx="1085850" cy="1085850"/>
          <wp:effectExtent l="19050" t="0" r="0" b="0"/>
          <wp:docPr id="1" name="Obraz 1" descr="UMGKO-2004-zl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GKO-2004-zlote"/>
                  <pic:cNvPicPr>
                    <a:picLocks noChangeAspect="1" noChangeArrowheads="1"/>
                  </pic:cNvPicPr>
                </pic:nvPicPr>
                <pic:blipFill>
                  <a:blip r:embed="rId1"/>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14:paraId="71592590" w14:textId="751B0C94" w:rsidR="001E3C9D" w:rsidRPr="008870B5" w:rsidRDefault="001E3C9D" w:rsidP="008870B5">
    <w:pPr>
      <w:pStyle w:val="Nagwek"/>
      <w:tabs>
        <w:tab w:val="clear" w:pos="4536"/>
      </w:tabs>
      <w:ind w:left="-709"/>
      <w:rPr>
        <w:sz w:val="20"/>
      </w:rPr>
    </w:pPr>
    <w:r>
      <w:rPr>
        <w:sz w:val="20"/>
      </w:rPr>
      <w:t xml:space="preserve"> www.umgdy.gov.pl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3A"/>
    <w:multiLevelType w:val="hybridMultilevel"/>
    <w:tmpl w:val="5554FF0E"/>
    <w:lvl w:ilvl="0" w:tplc="091847DA">
      <w:start w:val="1"/>
      <w:numFmt w:val="decimal"/>
      <w:lvlText w:val="%1)"/>
      <w:lvlJc w:val="left"/>
      <w:pPr>
        <w:tabs>
          <w:tab w:val="num" w:pos="723"/>
        </w:tabs>
        <w:ind w:left="1364" w:hanging="284"/>
      </w:pPr>
      <w:rPr>
        <w:rFonts w:hint="default"/>
      </w:rPr>
    </w:lvl>
    <w:lvl w:ilvl="1" w:tplc="785A9CD8">
      <w:start w:val="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16380D"/>
    <w:multiLevelType w:val="hybridMultilevel"/>
    <w:tmpl w:val="B33C7C3C"/>
    <w:lvl w:ilvl="0" w:tplc="A8066910">
      <w:start w:val="1"/>
      <w:numFmt w:val="decimal"/>
      <w:lvlText w:val="%1."/>
      <w:lvlJc w:val="left"/>
      <w:pPr>
        <w:tabs>
          <w:tab w:val="num" w:pos="346"/>
        </w:tabs>
        <w:ind w:left="346" w:hanging="340"/>
      </w:pPr>
      <w:rPr>
        <w:rFonts w:hint="default"/>
        <w:b w:val="0"/>
      </w:rPr>
    </w:lvl>
    <w:lvl w:ilvl="1" w:tplc="04150019" w:tentative="1">
      <w:start w:val="1"/>
      <w:numFmt w:val="lowerLetter"/>
      <w:lvlText w:val="%2."/>
      <w:lvlJc w:val="left"/>
      <w:pPr>
        <w:tabs>
          <w:tab w:val="num" w:pos="1446"/>
        </w:tabs>
        <w:ind w:left="1446" w:hanging="360"/>
      </w:pPr>
    </w:lvl>
    <w:lvl w:ilvl="2" w:tplc="0415001B"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2" w15:restartNumberingAfterBreak="0">
    <w:nsid w:val="02924CC6"/>
    <w:multiLevelType w:val="hybridMultilevel"/>
    <w:tmpl w:val="5EA68D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5500E"/>
    <w:multiLevelType w:val="hybridMultilevel"/>
    <w:tmpl w:val="98F8FC38"/>
    <w:lvl w:ilvl="0" w:tplc="BC5E0A56">
      <w:start w:val="1"/>
      <w:numFmt w:val="decimal"/>
      <w:lvlText w:val="%1)"/>
      <w:lvlJc w:val="left"/>
      <w:pPr>
        <w:tabs>
          <w:tab w:val="num" w:pos="1066"/>
        </w:tabs>
        <w:ind w:left="567" w:hanging="227"/>
      </w:pPr>
      <w:rPr>
        <w:rFonts w:hint="default"/>
      </w:rPr>
    </w:lvl>
    <w:lvl w:ilvl="1" w:tplc="5ED0C87A">
      <w:start w:val="2"/>
      <w:numFmt w:val="decimal"/>
      <w:lvlText w:val="%2."/>
      <w:lvlJc w:val="left"/>
      <w:pPr>
        <w:tabs>
          <w:tab w:val="num" w:pos="142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584599"/>
    <w:multiLevelType w:val="hybridMultilevel"/>
    <w:tmpl w:val="77BA846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E1735C5"/>
    <w:multiLevelType w:val="hybridMultilevel"/>
    <w:tmpl w:val="EAAA3D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C29FA"/>
    <w:multiLevelType w:val="hybridMultilevel"/>
    <w:tmpl w:val="4AECCA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35DC8"/>
    <w:multiLevelType w:val="hybridMultilevel"/>
    <w:tmpl w:val="111CB0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CB2225"/>
    <w:multiLevelType w:val="hybridMultilevel"/>
    <w:tmpl w:val="129688CA"/>
    <w:lvl w:ilvl="0" w:tplc="282EF9B4">
      <w:start w:val="1"/>
      <w:numFmt w:val="decimal"/>
      <w:lvlText w:val="%1."/>
      <w:lvlJc w:val="left"/>
      <w:pPr>
        <w:tabs>
          <w:tab w:val="num" w:pos="1420"/>
        </w:tabs>
        <w:ind w:left="1420" w:hanging="340"/>
      </w:pPr>
      <w:rPr>
        <w:rFonts w:hint="default"/>
      </w:rPr>
    </w:lvl>
    <w:lvl w:ilvl="1" w:tplc="230E58D2">
      <w:start w:val="1"/>
      <w:numFmt w:val="decimal"/>
      <w:lvlText w:val="%2)"/>
      <w:lvlJc w:val="left"/>
      <w:pPr>
        <w:tabs>
          <w:tab w:val="num" w:pos="1309"/>
        </w:tabs>
        <w:ind w:left="797" w:firstLine="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884C46"/>
    <w:multiLevelType w:val="hybridMultilevel"/>
    <w:tmpl w:val="DDA4A0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24C56"/>
    <w:multiLevelType w:val="hybridMultilevel"/>
    <w:tmpl w:val="CF5237FE"/>
    <w:lvl w:ilvl="0" w:tplc="230E58D2">
      <w:start w:val="1"/>
      <w:numFmt w:val="decimal"/>
      <w:lvlText w:val="%1)"/>
      <w:lvlJc w:val="left"/>
      <w:pPr>
        <w:tabs>
          <w:tab w:val="num" w:pos="1669"/>
        </w:tabs>
        <w:ind w:left="1157" w:firstLine="283"/>
      </w:pPr>
      <w:rPr>
        <w:rFonts w:hint="default"/>
      </w:rPr>
    </w:lvl>
    <w:lvl w:ilvl="1" w:tplc="8286F71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B2E740F"/>
    <w:multiLevelType w:val="hybridMultilevel"/>
    <w:tmpl w:val="42F05F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B3EF5"/>
    <w:multiLevelType w:val="hybridMultilevel"/>
    <w:tmpl w:val="BE10E98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0422AB"/>
    <w:multiLevelType w:val="hybridMultilevel"/>
    <w:tmpl w:val="41C8EF38"/>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60C79"/>
    <w:multiLevelType w:val="hybridMultilevel"/>
    <w:tmpl w:val="3D88E3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570D7"/>
    <w:multiLevelType w:val="hybridMultilevel"/>
    <w:tmpl w:val="E72C195A"/>
    <w:lvl w:ilvl="0" w:tplc="1D14F590">
      <w:start w:val="1"/>
      <w:numFmt w:val="decimal"/>
      <w:lvlText w:val="%1)"/>
      <w:lvlJc w:val="left"/>
      <w:pPr>
        <w:tabs>
          <w:tab w:val="num" w:pos="1086"/>
        </w:tabs>
        <w:ind w:left="814" w:hanging="454"/>
      </w:pPr>
      <w:rPr>
        <w:rFonts w:hint="default"/>
      </w:rPr>
    </w:lvl>
    <w:lvl w:ilvl="1" w:tplc="A5C029B2">
      <w:start w:val="1"/>
      <w:numFmt w:val="decimal"/>
      <w:lvlText w:val="%2."/>
      <w:lvlJc w:val="left"/>
      <w:pPr>
        <w:tabs>
          <w:tab w:val="num" w:pos="2049"/>
        </w:tabs>
        <w:ind w:left="587" w:hanging="567"/>
      </w:pPr>
      <w:rPr>
        <w:rFonts w:hint="default"/>
      </w:r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6" w15:restartNumberingAfterBreak="0">
    <w:nsid w:val="29E3340A"/>
    <w:multiLevelType w:val="multilevel"/>
    <w:tmpl w:val="41C8EF3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4C434A"/>
    <w:multiLevelType w:val="hybridMultilevel"/>
    <w:tmpl w:val="4C629CE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F6EBF"/>
    <w:multiLevelType w:val="hybridMultilevel"/>
    <w:tmpl w:val="44E67C18"/>
    <w:lvl w:ilvl="0" w:tplc="D04C86BC">
      <w:start w:val="1"/>
      <w:numFmt w:val="decimal"/>
      <w:lvlText w:val="%1."/>
      <w:lvlJc w:val="left"/>
      <w:pPr>
        <w:tabs>
          <w:tab w:val="num" w:pos="340"/>
        </w:tabs>
        <w:ind w:left="340" w:hanging="340"/>
      </w:pPr>
      <w:rPr>
        <w:rFonts w:hint="default"/>
        <w:b w:val="0"/>
      </w:rPr>
    </w:lvl>
    <w:lvl w:ilvl="1" w:tplc="5B4030EC">
      <w:start w:val="1"/>
      <w:numFmt w:val="decimal"/>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1F6393"/>
    <w:multiLevelType w:val="hybridMultilevel"/>
    <w:tmpl w:val="E68C274C"/>
    <w:lvl w:ilvl="0" w:tplc="DD906A9C">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475C1D"/>
    <w:multiLevelType w:val="hybridMultilevel"/>
    <w:tmpl w:val="ED8C98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D5770"/>
    <w:multiLevelType w:val="hybridMultilevel"/>
    <w:tmpl w:val="7146F6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F6807"/>
    <w:multiLevelType w:val="hybridMultilevel"/>
    <w:tmpl w:val="AC222C7A"/>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D6535A"/>
    <w:multiLevelType w:val="hybridMultilevel"/>
    <w:tmpl w:val="F3D0F8DC"/>
    <w:lvl w:ilvl="0" w:tplc="140427CA">
      <w:start w:val="1"/>
      <w:numFmt w:val="decimal"/>
      <w:lvlText w:val="%1."/>
      <w:lvlJc w:val="left"/>
      <w:pPr>
        <w:tabs>
          <w:tab w:val="num" w:pos="340"/>
        </w:tabs>
        <w:ind w:left="340" w:hanging="340"/>
      </w:pPr>
      <w:rPr>
        <w:rFonts w:hint="default"/>
        <w:strike w:val="0"/>
      </w:rPr>
    </w:lvl>
    <w:lvl w:ilvl="1" w:tplc="5B4030EC">
      <w:start w:val="1"/>
      <w:numFmt w:val="decimal"/>
      <w:lvlText w:val="%2."/>
      <w:lvlJc w:val="left"/>
      <w:pPr>
        <w:tabs>
          <w:tab w:val="num" w:pos="1420"/>
        </w:tabs>
        <w:ind w:left="1420" w:hanging="340"/>
      </w:pPr>
      <w:rPr>
        <w:rFonts w:hint="default"/>
        <w:strike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B060AA3"/>
    <w:multiLevelType w:val="hybridMultilevel"/>
    <w:tmpl w:val="957409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7166CC"/>
    <w:multiLevelType w:val="hybridMultilevel"/>
    <w:tmpl w:val="E5D010C8"/>
    <w:lvl w:ilvl="0" w:tplc="F35CA42E">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F449B"/>
    <w:multiLevelType w:val="hybridMultilevel"/>
    <w:tmpl w:val="397CA54E"/>
    <w:lvl w:ilvl="0" w:tplc="054C8C12">
      <w:start w:val="1"/>
      <w:numFmt w:val="decimal"/>
      <w:lvlText w:val="%1."/>
      <w:lvlJc w:val="left"/>
      <w:pPr>
        <w:tabs>
          <w:tab w:val="num" w:pos="340"/>
        </w:tabs>
        <w:ind w:left="340" w:hanging="340"/>
      </w:pPr>
      <w:rPr>
        <w:rFonts w:hint="default"/>
        <w:b w:val="0"/>
      </w:rPr>
    </w:lvl>
    <w:lvl w:ilvl="1" w:tplc="5B4030EC">
      <w:start w:val="1"/>
      <w:numFmt w:val="decimal"/>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4F5FB3"/>
    <w:multiLevelType w:val="hybridMultilevel"/>
    <w:tmpl w:val="ACCEE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40BE4"/>
    <w:multiLevelType w:val="hybridMultilevel"/>
    <w:tmpl w:val="54D61F2C"/>
    <w:lvl w:ilvl="0" w:tplc="55701450">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20504A0"/>
    <w:multiLevelType w:val="hybridMultilevel"/>
    <w:tmpl w:val="FD845550"/>
    <w:lvl w:ilvl="0" w:tplc="86607AEA">
      <w:start w:val="1"/>
      <w:numFmt w:val="decimal"/>
      <w:lvlText w:val="%1)"/>
      <w:lvlJc w:val="left"/>
      <w:pPr>
        <w:tabs>
          <w:tab w:val="num" w:pos="465"/>
        </w:tabs>
        <w:ind w:left="465" w:hanging="360"/>
      </w:pPr>
      <w:rPr>
        <w:rFonts w:hint="default"/>
      </w:rPr>
    </w:lvl>
    <w:lvl w:ilvl="1" w:tplc="04150019" w:tentative="1">
      <w:start w:val="1"/>
      <w:numFmt w:val="lowerLetter"/>
      <w:lvlText w:val="%2."/>
      <w:lvlJc w:val="left"/>
      <w:pPr>
        <w:tabs>
          <w:tab w:val="num" w:pos="1185"/>
        </w:tabs>
        <w:ind w:left="1185" w:hanging="360"/>
      </w:pPr>
    </w:lvl>
    <w:lvl w:ilvl="2" w:tplc="0415001B" w:tentative="1">
      <w:start w:val="1"/>
      <w:numFmt w:val="lowerRoman"/>
      <w:lvlText w:val="%3."/>
      <w:lvlJc w:val="right"/>
      <w:pPr>
        <w:tabs>
          <w:tab w:val="num" w:pos="1905"/>
        </w:tabs>
        <w:ind w:left="1905" w:hanging="180"/>
      </w:pPr>
    </w:lvl>
    <w:lvl w:ilvl="3" w:tplc="0415000F" w:tentative="1">
      <w:start w:val="1"/>
      <w:numFmt w:val="decimal"/>
      <w:lvlText w:val="%4."/>
      <w:lvlJc w:val="left"/>
      <w:pPr>
        <w:tabs>
          <w:tab w:val="num" w:pos="2625"/>
        </w:tabs>
        <w:ind w:left="2625" w:hanging="360"/>
      </w:pPr>
    </w:lvl>
    <w:lvl w:ilvl="4" w:tplc="04150019" w:tentative="1">
      <w:start w:val="1"/>
      <w:numFmt w:val="lowerLetter"/>
      <w:lvlText w:val="%5."/>
      <w:lvlJc w:val="left"/>
      <w:pPr>
        <w:tabs>
          <w:tab w:val="num" w:pos="3345"/>
        </w:tabs>
        <w:ind w:left="3345" w:hanging="360"/>
      </w:pPr>
    </w:lvl>
    <w:lvl w:ilvl="5" w:tplc="0415001B" w:tentative="1">
      <w:start w:val="1"/>
      <w:numFmt w:val="lowerRoman"/>
      <w:lvlText w:val="%6."/>
      <w:lvlJc w:val="right"/>
      <w:pPr>
        <w:tabs>
          <w:tab w:val="num" w:pos="4065"/>
        </w:tabs>
        <w:ind w:left="4065" w:hanging="180"/>
      </w:pPr>
    </w:lvl>
    <w:lvl w:ilvl="6" w:tplc="0415000F" w:tentative="1">
      <w:start w:val="1"/>
      <w:numFmt w:val="decimal"/>
      <w:lvlText w:val="%7."/>
      <w:lvlJc w:val="left"/>
      <w:pPr>
        <w:tabs>
          <w:tab w:val="num" w:pos="4785"/>
        </w:tabs>
        <w:ind w:left="4785" w:hanging="360"/>
      </w:pPr>
    </w:lvl>
    <w:lvl w:ilvl="7" w:tplc="04150019" w:tentative="1">
      <w:start w:val="1"/>
      <w:numFmt w:val="lowerLetter"/>
      <w:lvlText w:val="%8."/>
      <w:lvlJc w:val="left"/>
      <w:pPr>
        <w:tabs>
          <w:tab w:val="num" w:pos="5505"/>
        </w:tabs>
        <w:ind w:left="5505" w:hanging="360"/>
      </w:pPr>
    </w:lvl>
    <w:lvl w:ilvl="8" w:tplc="0415001B" w:tentative="1">
      <w:start w:val="1"/>
      <w:numFmt w:val="lowerRoman"/>
      <w:lvlText w:val="%9."/>
      <w:lvlJc w:val="right"/>
      <w:pPr>
        <w:tabs>
          <w:tab w:val="num" w:pos="6225"/>
        </w:tabs>
        <w:ind w:left="6225" w:hanging="180"/>
      </w:pPr>
    </w:lvl>
  </w:abstractNum>
  <w:abstractNum w:abstractNumId="30" w15:restartNumberingAfterBreak="0">
    <w:nsid w:val="4910309D"/>
    <w:multiLevelType w:val="hybridMultilevel"/>
    <w:tmpl w:val="6428C29A"/>
    <w:lvl w:ilvl="0" w:tplc="5B4030E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C6F794A"/>
    <w:multiLevelType w:val="hybridMultilevel"/>
    <w:tmpl w:val="0A828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C82DA9"/>
    <w:multiLevelType w:val="hybridMultilevel"/>
    <w:tmpl w:val="E50825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325AC"/>
    <w:multiLevelType w:val="hybridMultilevel"/>
    <w:tmpl w:val="3B5CA250"/>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0"/>
        </w:tabs>
        <w:ind w:left="0" w:hanging="360"/>
      </w:pPr>
      <w:rPr>
        <w:rFonts w:hint="default"/>
      </w:rPr>
    </w:lvl>
    <w:lvl w:ilvl="2" w:tplc="FFFFFFFF">
      <w:start w:val="1"/>
      <w:numFmt w:val="lowerLetter"/>
      <w:lvlText w:val="%3)"/>
      <w:lvlJc w:val="left"/>
      <w:pPr>
        <w:tabs>
          <w:tab w:val="num" w:pos="900"/>
        </w:tabs>
        <w:ind w:left="900" w:hanging="360"/>
      </w:pPr>
      <w:rPr>
        <w:rFonts w:hint="default"/>
      </w:rPr>
    </w:lvl>
    <w:lvl w:ilvl="3" w:tplc="FFFFFFFF">
      <w:start w:val="1"/>
      <w:numFmt w:val="decimal"/>
      <w:lvlText w:val="%4."/>
      <w:lvlJc w:val="left"/>
      <w:pPr>
        <w:tabs>
          <w:tab w:val="num" w:pos="1440"/>
        </w:tabs>
        <w:ind w:left="1440" w:hanging="360"/>
      </w:pPr>
      <w:rPr>
        <w:rFonts w:hint="default"/>
      </w:r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34" w15:restartNumberingAfterBreak="0">
    <w:nsid w:val="5A1D4E92"/>
    <w:multiLevelType w:val="hybridMultilevel"/>
    <w:tmpl w:val="825ED37C"/>
    <w:lvl w:ilvl="0" w:tplc="230E58D2">
      <w:start w:val="1"/>
      <w:numFmt w:val="decimal"/>
      <w:lvlText w:val="%1)"/>
      <w:lvlJc w:val="left"/>
      <w:pPr>
        <w:tabs>
          <w:tab w:val="num" w:pos="1669"/>
        </w:tabs>
        <w:ind w:left="1157" w:firstLine="283"/>
      </w:pPr>
      <w:rPr>
        <w:rFonts w:hint="default"/>
      </w:rPr>
    </w:lvl>
    <w:lvl w:ilvl="1" w:tplc="E89AE2C6">
      <w:start w:val="1"/>
      <w:numFmt w:val="lowerLetter"/>
      <w:lvlText w:val="%2)"/>
      <w:lvlJc w:val="left"/>
      <w:pPr>
        <w:tabs>
          <w:tab w:val="num" w:pos="1440"/>
        </w:tabs>
        <w:ind w:left="1440" w:hanging="360"/>
      </w:pPr>
      <w:rPr>
        <w:rFonts w:hint="default"/>
        <w:b w:val="0"/>
      </w:rPr>
    </w:lvl>
    <w:lvl w:ilvl="2" w:tplc="230E58D2">
      <w:start w:val="1"/>
      <w:numFmt w:val="decimal"/>
      <w:lvlText w:val="%3)"/>
      <w:lvlJc w:val="left"/>
      <w:pPr>
        <w:tabs>
          <w:tab w:val="num" w:pos="2209"/>
        </w:tabs>
        <w:ind w:left="1697" w:firstLine="28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E85177"/>
    <w:multiLevelType w:val="hybridMultilevel"/>
    <w:tmpl w:val="864A28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9739A"/>
    <w:multiLevelType w:val="hybridMultilevel"/>
    <w:tmpl w:val="21947290"/>
    <w:lvl w:ilvl="0" w:tplc="669E3C9C">
      <w:start w:val="1"/>
      <w:numFmt w:val="decimal"/>
      <w:lvlText w:val="%1."/>
      <w:lvlJc w:val="left"/>
      <w:pPr>
        <w:tabs>
          <w:tab w:val="num" w:pos="340"/>
        </w:tabs>
        <w:ind w:left="340" w:hanging="340"/>
      </w:pPr>
      <w:rPr>
        <w:rFonts w:ascii="Times New Roman" w:hAnsi="Times New Roman"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DC61F3"/>
    <w:multiLevelType w:val="hybridMultilevel"/>
    <w:tmpl w:val="1AD6C61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0D16B6"/>
    <w:multiLevelType w:val="hybridMultilevel"/>
    <w:tmpl w:val="DF46225C"/>
    <w:lvl w:ilvl="0" w:tplc="230E58D2">
      <w:start w:val="1"/>
      <w:numFmt w:val="decimal"/>
      <w:lvlText w:val="%1)"/>
      <w:lvlJc w:val="left"/>
      <w:pPr>
        <w:tabs>
          <w:tab w:val="num" w:pos="1669"/>
        </w:tabs>
        <w:ind w:left="1157" w:firstLine="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50D5EB3"/>
    <w:multiLevelType w:val="hybridMultilevel"/>
    <w:tmpl w:val="71BEF7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85278"/>
    <w:multiLevelType w:val="hybridMultilevel"/>
    <w:tmpl w:val="9A6A7240"/>
    <w:lvl w:ilvl="0" w:tplc="04150001">
      <w:start w:val="1"/>
      <w:numFmt w:val="bullet"/>
      <w:lvlText w:val=""/>
      <w:lvlJc w:val="left"/>
      <w:pPr>
        <w:tabs>
          <w:tab w:val="num" w:pos="720"/>
        </w:tabs>
        <w:ind w:left="720" w:hanging="360"/>
      </w:pPr>
      <w:rPr>
        <w:rFonts w:ascii="Symbol" w:hAnsi="Symbol" w:hint="default"/>
      </w:rPr>
    </w:lvl>
    <w:lvl w:ilvl="1" w:tplc="9898782C">
      <w:start w:val="1"/>
      <w:numFmt w:val="decimal"/>
      <w:lvlText w:val="%2)"/>
      <w:lvlJc w:val="left"/>
      <w:pPr>
        <w:tabs>
          <w:tab w:val="num" w:pos="1440"/>
        </w:tabs>
        <w:ind w:left="1440" w:hanging="360"/>
      </w:pPr>
      <w:rPr>
        <w:rFonts w:ascii="Times New Roman" w:eastAsia="Times New Roman" w:hAnsi="Times New Roman"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3369F"/>
    <w:multiLevelType w:val="hybridMultilevel"/>
    <w:tmpl w:val="5428DB00"/>
    <w:lvl w:ilvl="0" w:tplc="5B4030EC">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8A63D3A"/>
    <w:multiLevelType w:val="hybridMultilevel"/>
    <w:tmpl w:val="DCE6F960"/>
    <w:lvl w:ilvl="0" w:tplc="DF36A5B6">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B25B6A"/>
    <w:multiLevelType w:val="hybridMultilevel"/>
    <w:tmpl w:val="7856044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35C50"/>
    <w:multiLevelType w:val="hybridMultilevel"/>
    <w:tmpl w:val="465476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64EBC"/>
    <w:multiLevelType w:val="hybridMultilevel"/>
    <w:tmpl w:val="DFCE9926"/>
    <w:lvl w:ilvl="0" w:tplc="5B4030EC">
      <w:start w:val="1"/>
      <w:numFmt w:val="decimal"/>
      <w:lvlText w:val="%1."/>
      <w:lvlJc w:val="left"/>
      <w:pPr>
        <w:tabs>
          <w:tab w:val="num" w:pos="340"/>
        </w:tabs>
        <w:ind w:left="340" w:hanging="340"/>
      </w:pPr>
      <w:rPr>
        <w:rFonts w:hint="default"/>
      </w:rPr>
    </w:lvl>
    <w:lvl w:ilvl="1" w:tplc="C98221FC">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ED03B4C"/>
    <w:multiLevelType w:val="hybridMultilevel"/>
    <w:tmpl w:val="0ACA3E1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785738710">
    <w:abstractNumId w:val="25"/>
  </w:num>
  <w:num w:numId="2" w16cid:durableId="474447325">
    <w:abstractNumId w:val="7"/>
  </w:num>
  <w:num w:numId="3" w16cid:durableId="804930558">
    <w:abstractNumId w:val="46"/>
  </w:num>
  <w:num w:numId="4" w16cid:durableId="1843550086">
    <w:abstractNumId w:val="44"/>
  </w:num>
  <w:num w:numId="5" w16cid:durableId="163665310">
    <w:abstractNumId w:val="43"/>
  </w:num>
  <w:num w:numId="6" w16cid:durableId="1475369782">
    <w:abstractNumId w:val="5"/>
  </w:num>
  <w:num w:numId="7" w16cid:durableId="454522344">
    <w:abstractNumId w:val="32"/>
  </w:num>
  <w:num w:numId="8" w16cid:durableId="3067818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186125">
    <w:abstractNumId w:val="4"/>
  </w:num>
  <w:num w:numId="10" w16cid:durableId="1642885146">
    <w:abstractNumId w:val="6"/>
  </w:num>
  <w:num w:numId="11" w16cid:durableId="2074961916">
    <w:abstractNumId w:val="39"/>
  </w:num>
  <w:num w:numId="12" w16cid:durableId="1937591875">
    <w:abstractNumId w:val="9"/>
  </w:num>
  <w:num w:numId="13" w16cid:durableId="1520238834">
    <w:abstractNumId w:val="24"/>
  </w:num>
  <w:num w:numId="14" w16cid:durableId="1180698670">
    <w:abstractNumId w:val="37"/>
  </w:num>
  <w:num w:numId="15" w16cid:durableId="1249265680">
    <w:abstractNumId w:val="35"/>
  </w:num>
  <w:num w:numId="16" w16cid:durableId="852501621">
    <w:abstractNumId w:val="2"/>
  </w:num>
  <w:num w:numId="17" w16cid:durableId="691419753">
    <w:abstractNumId w:val="0"/>
  </w:num>
  <w:num w:numId="18" w16cid:durableId="934478390">
    <w:abstractNumId w:val="22"/>
  </w:num>
  <w:num w:numId="19" w16cid:durableId="1123185230">
    <w:abstractNumId w:val="12"/>
  </w:num>
  <w:num w:numId="20" w16cid:durableId="706679130">
    <w:abstractNumId w:val="17"/>
  </w:num>
  <w:num w:numId="21" w16cid:durableId="1986080808">
    <w:abstractNumId w:val="21"/>
  </w:num>
  <w:num w:numId="22" w16cid:durableId="1804230718">
    <w:abstractNumId w:val="27"/>
  </w:num>
  <w:num w:numId="23" w16cid:durableId="1889141350">
    <w:abstractNumId w:val="40"/>
  </w:num>
  <w:num w:numId="24" w16cid:durableId="2065055493">
    <w:abstractNumId w:val="15"/>
  </w:num>
  <w:num w:numId="25" w16cid:durableId="735322350">
    <w:abstractNumId w:val="8"/>
  </w:num>
  <w:num w:numId="26" w16cid:durableId="1296255774">
    <w:abstractNumId w:val="38"/>
  </w:num>
  <w:num w:numId="27" w16cid:durableId="862791827">
    <w:abstractNumId w:val="30"/>
  </w:num>
  <w:num w:numId="28" w16cid:durableId="1094476273">
    <w:abstractNumId w:val="26"/>
  </w:num>
  <w:num w:numId="29" w16cid:durableId="163905953">
    <w:abstractNumId w:val="34"/>
  </w:num>
  <w:num w:numId="30" w16cid:durableId="946350437">
    <w:abstractNumId w:val="33"/>
  </w:num>
  <w:num w:numId="31" w16cid:durableId="561911661">
    <w:abstractNumId w:val="1"/>
  </w:num>
  <w:num w:numId="32" w16cid:durableId="2003506412">
    <w:abstractNumId w:val="23"/>
  </w:num>
  <w:num w:numId="33" w16cid:durableId="808740697">
    <w:abstractNumId w:val="41"/>
  </w:num>
  <w:num w:numId="34" w16cid:durableId="186531143">
    <w:abstractNumId w:val="10"/>
  </w:num>
  <w:num w:numId="35" w16cid:durableId="1698848101">
    <w:abstractNumId w:val="45"/>
  </w:num>
  <w:num w:numId="36" w16cid:durableId="893270181">
    <w:abstractNumId w:val="36"/>
  </w:num>
  <w:num w:numId="37" w16cid:durableId="2080398267">
    <w:abstractNumId w:val="20"/>
  </w:num>
  <w:num w:numId="38" w16cid:durableId="557480275">
    <w:abstractNumId w:val="18"/>
  </w:num>
  <w:num w:numId="39" w16cid:durableId="2103404122">
    <w:abstractNumId w:val="29"/>
  </w:num>
  <w:num w:numId="40" w16cid:durableId="608778963">
    <w:abstractNumId w:val="28"/>
  </w:num>
  <w:num w:numId="41" w16cid:durableId="1031490632">
    <w:abstractNumId w:val="42"/>
  </w:num>
  <w:num w:numId="42" w16cid:durableId="704257017">
    <w:abstractNumId w:val="3"/>
  </w:num>
  <w:num w:numId="43" w16cid:durableId="1928226855">
    <w:abstractNumId w:val="13"/>
  </w:num>
  <w:num w:numId="44" w16cid:durableId="1720013508">
    <w:abstractNumId w:val="16"/>
  </w:num>
  <w:num w:numId="45" w16cid:durableId="2054424069">
    <w:abstractNumId w:val="14"/>
  </w:num>
  <w:num w:numId="46" w16cid:durableId="724068916">
    <w:abstractNumId w:val="11"/>
  </w:num>
  <w:num w:numId="47" w16cid:durableId="549657492">
    <w:abstractNumId w:val="19"/>
  </w:num>
  <w:num w:numId="48" w16cid:durableId="8322611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4"/>
    <w:rsid w:val="0000099D"/>
    <w:rsid w:val="00003922"/>
    <w:rsid w:val="00005511"/>
    <w:rsid w:val="000309B6"/>
    <w:rsid w:val="000332D5"/>
    <w:rsid w:val="000436A8"/>
    <w:rsid w:val="0004395B"/>
    <w:rsid w:val="00064099"/>
    <w:rsid w:val="00066D85"/>
    <w:rsid w:val="00067414"/>
    <w:rsid w:val="00072B33"/>
    <w:rsid w:val="00074F44"/>
    <w:rsid w:val="00075D2B"/>
    <w:rsid w:val="000816E6"/>
    <w:rsid w:val="00083007"/>
    <w:rsid w:val="0008560C"/>
    <w:rsid w:val="00087CB4"/>
    <w:rsid w:val="00092498"/>
    <w:rsid w:val="00097FED"/>
    <w:rsid w:val="000A719D"/>
    <w:rsid w:val="000A73AC"/>
    <w:rsid w:val="000B2348"/>
    <w:rsid w:val="000B36DF"/>
    <w:rsid w:val="000C36B1"/>
    <w:rsid w:val="000C381C"/>
    <w:rsid w:val="000C528C"/>
    <w:rsid w:val="000C6A2F"/>
    <w:rsid w:val="000D0AC3"/>
    <w:rsid w:val="000D6FD9"/>
    <w:rsid w:val="000D750E"/>
    <w:rsid w:val="000E0349"/>
    <w:rsid w:val="000E071B"/>
    <w:rsid w:val="000F00C3"/>
    <w:rsid w:val="000F0220"/>
    <w:rsid w:val="000F3A4D"/>
    <w:rsid w:val="000F63FD"/>
    <w:rsid w:val="000F640F"/>
    <w:rsid w:val="000F72AE"/>
    <w:rsid w:val="00104C3F"/>
    <w:rsid w:val="00111841"/>
    <w:rsid w:val="001131B5"/>
    <w:rsid w:val="00116B8F"/>
    <w:rsid w:val="0012096B"/>
    <w:rsid w:val="001467EA"/>
    <w:rsid w:val="001543C0"/>
    <w:rsid w:val="00192333"/>
    <w:rsid w:val="00196B5D"/>
    <w:rsid w:val="00196BB1"/>
    <w:rsid w:val="001973B2"/>
    <w:rsid w:val="001A4961"/>
    <w:rsid w:val="001B0975"/>
    <w:rsid w:val="001D3616"/>
    <w:rsid w:val="001E3C9D"/>
    <w:rsid w:val="001E5FE0"/>
    <w:rsid w:val="001F1801"/>
    <w:rsid w:val="001F18AC"/>
    <w:rsid w:val="001F20E9"/>
    <w:rsid w:val="001F5B70"/>
    <w:rsid w:val="00205BA9"/>
    <w:rsid w:val="00206ABD"/>
    <w:rsid w:val="002136B9"/>
    <w:rsid w:val="00216C3B"/>
    <w:rsid w:val="00232B42"/>
    <w:rsid w:val="00235C60"/>
    <w:rsid w:val="00235F42"/>
    <w:rsid w:val="00236CE0"/>
    <w:rsid w:val="002371B1"/>
    <w:rsid w:val="00245AE4"/>
    <w:rsid w:val="00246C45"/>
    <w:rsid w:val="002542E0"/>
    <w:rsid w:val="002667A6"/>
    <w:rsid w:val="00280CA8"/>
    <w:rsid w:val="0029028E"/>
    <w:rsid w:val="00294DDF"/>
    <w:rsid w:val="002B0FC8"/>
    <w:rsid w:val="002B1F0E"/>
    <w:rsid w:val="002B7032"/>
    <w:rsid w:val="002C592B"/>
    <w:rsid w:val="002E0EEA"/>
    <w:rsid w:val="002E47C9"/>
    <w:rsid w:val="002E7CAF"/>
    <w:rsid w:val="002F343E"/>
    <w:rsid w:val="002F6ACC"/>
    <w:rsid w:val="00300D47"/>
    <w:rsid w:val="00301D00"/>
    <w:rsid w:val="0030490A"/>
    <w:rsid w:val="00304954"/>
    <w:rsid w:val="00310D0A"/>
    <w:rsid w:val="00310FD5"/>
    <w:rsid w:val="00316E80"/>
    <w:rsid w:val="00321333"/>
    <w:rsid w:val="00324C25"/>
    <w:rsid w:val="0033335B"/>
    <w:rsid w:val="003341A3"/>
    <w:rsid w:val="00336D91"/>
    <w:rsid w:val="00341E63"/>
    <w:rsid w:val="00342F94"/>
    <w:rsid w:val="00345AE7"/>
    <w:rsid w:val="00347BBA"/>
    <w:rsid w:val="00350633"/>
    <w:rsid w:val="00367236"/>
    <w:rsid w:val="0037468A"/>
    <w:rsid w:val="003756B7"/>
    <w:rsid w:val="00376037"/>
    <w:rsid w:val="0038617F"/>
    <w:rsid w:val="003C4024"/>
    <w:rsid w:val="003C594B"/>
    <w:rsid w:val="003D13A5"/>
    <w:rsid w:val="003D686F"/>
    <w:rsid w:val="003D7795"/>
    <w:rsid w:val="003E69A2"/>
    <w:rsid w:val="003F2044"/>
    <w:rsid w:val="003F3AFC"/>
    <w:rsid w:val="003F62D4"/>
    <w:rsid w:val="00402188"/>
    <w:rsid w:val="004078E6"/>
    <w:rsid w:val="00407F79"/>
    <w:rsid w:val="00427DA5"/>
    <w:rsid w:val="004351D2"/>
    <w:rsid w:val="004406D5"/>
    <w:rsid w:val="004429B0"/>
    <w:rsid w:val="004454EA"/>
    <w:rsid w:val="00445D97"/>
    <w:rsid w:val="00454241"/>
    <w:rsid w:val="004561BE"/>
    <w:rsid w:val="004606D1"/>
    <w:rsid w:val="00471B2C"/>
    <w:rsid w:val="004722B4"/>
    <w:rsid w:val="00480C91"/>
    <w:rsid w:val="0048682C"/>
    <w:rsid w:val="00486CF6"/>
    <w:rsid w:val="00495B63"/>
    <w:rsid w:val="004A2ECB"/>
    <w:rsid w:val="004B09B9"/>
    <w:rsid w:val="004B1608"/>
    <w:rsid w:val="004B5B02"/>
    <w:rsid w:val="004B63E0"/>
    <w:rsid w:val="004C0815"/>
    <w:rsid w:val="004C0D8A"/>
    <w:rsid w:val="004C11E6"/>
    <w:rsid w:val="004C55F1"/>
    <w:rsid w:val="004D1A75"/>
    <w:rsid w:val="004D7D90"/>
    <w:rsid w:val="004E483D"/>
    <w:rsid w:val="004F1BFE"/>
    <w:rsid w:val="004F526F"/>
    <w:rsid w:val="004F6814"/>
    <w:rsid w:val="004F73B7"/>
    <w:rsid w:val="005003A4"/>
    <w:rsid w:val="00517832"/>
    <w:rsid w:val="00521431"/>
    <w:rsid w:val="005357BD"/>
    <w:rsid w:val="005362DD"/>
    <w:rsid w:val="00542C0D"/>
    <w:rsid w:val="005558E3"/>
    <w:rsid w:val="00555F75"/>
    <w:rsid w:val="0056231F"/>
    <w:rsid w:val="0058103E"/>
    <w:rsid w:val="00585BF3"/>
    <w:rsid w:val="005870DF"/>
    <w:rsid w:val="005A129A"/>
    <w:rsid w:val="005A273B"/>
    <w:rsid w:val="005A5425"/>
    <w:rsid w:val="005B5A49"/>
    <w:rsid w:val="005B7512"/>
    <w:rsid w:val="005C3177"/>
    <w:rsid w:val="005C4841"/>
    <w:rsid w:val="005D2CBF"/>
    <w:rsid w:val="005E2EB1"/>
    <w:rsid w:val="005E37A1"/>
    <w:rsid w:val="005E6683"/>
    <w:rsid w:val="005F3749"/>
    <w:rsid w:val="00604875"/>
    <w:rsid w:val="0061213F"/>
    <w:rsid w:val="0061460A"/>
    <w:rsid w:val="00616460"/>
    <w:rsid w:val="00624621"/>
    <w:rsid w:val="00626264"/>
    <w:rsid w:val="00630BDA"/>
    <w:rsid w:val="00631E97"/>
    <w:rsid w:val="00651A45"/>
    <w:rsid w:val="00666DEA"/>
    <w:rsid w:val="00670D6C"/>
    <w:rsid w:val="00681D17"/>
    <w:rsid w:val="00685355"/>
    <w:rsid w:val="00690748"/>
    <w:rsid w:val="0069539E"/>
    <w:rsid w:val="00696BFB"/>
    <w:rsid w:val="006B2702"/>
    <w:rsid w:val="006C0242"/>
    <w:rsid w:val="006C4ED1"/>
    <w:rsid w:val="006D098C"/>
    <w:rsid w:val="006D24E6"/>
    <w:rsid w:val="006E59C2"/>
    <w:rsid w:val="006F200A"/>
    <w:rsid w:val="007113DC"/>
    <w:rsid w:val="007264CC"/>
    <w:rsid w:val="007269DF"/>
    <w:rsid w:val="0073363F"/>
    <w:rsid w:val="00740858"/>
    <w:rsid w:val="00741832"/>
    <w:rsid w:val="00742251"/>
    <w:rsid w:val="0074360C"/>
    <w:rsid w:val="00761D7B"/>
    <w:rsid w:val="00766E2B"/>
    <w:rsid w:val="00773463"/>
    <w:rsid w:val="0077515E"/>
    <w:rsid w:val="00791154"/>
    <w:rsid w:val="00793E81"/>
    <w:rsid w:val="00796701"/>
    <w:rsid w:val="007A0ED6"/>
    <w:rsid w:val="007A14DC"/>
    <w:rsid w:val="007A3604"/>
    <w:rsid w:val="007A6E46"/>
    <w:rsid w:val="007B5868"/>
    <w:rsid w:val="007B5CA9"/>
    <w:rsid w:val="007B77EE"/>
    <w:rsid w:val="007E2A61"/>
    <w:rsid w:val="007E5D3E"/>
    <w:rsid w:val="00823AE4"/>
    <w:rsid w:val="0083231E"/>
    <w:rsid w:val="00837E13"/>
    <w:rsid w:val="008409B9"/>
    <w:rsid w:val="0086263B"/>
    <w:rsid w:val="00870A72"/>
    <w:rsid w:val="008763C7"/>
    <w:rsid w:val="0088009B"/>
    <w:rsid w:val="0088418C"/>
    <w:rsid w:val="0088689C"/>
    <w:rsid w:val="008870B5"/>
    <w:rsid w:val="0088797A"/>
    <w:rsid w:val="00891DB7"/>
    <w:rsid w:val="00894BFE"/>
    <w:rsid w:val="00896A82"/>
    <w:rsid w:val="008A0023"/>
    <w:rsid w:val="008B304C"/>
    <w:rsid w:val="008C6D96"/>
    <w:rsid w:val="008D0FFC"/>
    <w:rsid w:val="008E3D72"/>
    <w:rsid w:val="008E67D3"/>
    <w:rsid w:val="008E7898"/>
    <w:rsid w:val="008F3F07"/>
    <w:rsid w:val="008F6D71"/>
    <w:rsid w:val="008F7A63"/>
    <w:rsid w:val="00900E93"/>
    <w:rsid w:val="00910508"/>
    <w:rsid w:val="00913517"/>
    <w:rsid w:val="0091485B"/>
    <w:rsid w:val="0093101A"/>
    <w:rsid w:val="00933A7D"/>
    <w:rsid w:val="00933C6E"/>
    <w:rsid w:val="009344CE"/>
    <w:rsid w:val="0093708B"/>
    <w:rsid w:val="00937E89"/>
    <w:rsid w:val="00942B8C"/>
    <w:rsid w:val="00945A86"/>
    <w:rsid w:val="00947B90"/>
    <w:rsid w:val="00947E2F"/>
    <w:rsid w:val="00951E77"/>
    <w:rsid w:val="009544EB"/>
    <w:rsid w:val="009577F1"/>
    <w:rsid w:val="00960A16"/>
    <w:rsid w:val="0096241E"/>
    <w:rsid w:val="009725B2"/>
    <w:rsid w:val="00975EAF"/>
    <w:rsid w:val="00982BC0"/>
    <w:rsid w:val="00991E9C"/>
    <w:rsid w:val="00996AF1"/>
    <w:rsid w:val="009A0D4D"/>
    <w:rsid w:val="009A426E"/>
    <w:rsid w:val="009B0999"/>
    <w:rsid w:val="009B1CAD"/>
    <w:rsid w:val="009B4F79"/>
    <w:rsid w:val="009B64A8"/>
    <w:rsid w:val="009B7016"/>
    <w:rsid w:val="009C1BF7"/>
    <w:rsid w:val="009C4854"/>
    <w:rsid w:val="009D6461"/>
    <w:rsid w:val="009E6BF1"/>
    <w:rsid w:val="009F4BE1"/>
    <w:rsid w:val="00A03E90"/>
    <w:rsid w:val="00A04B1F"/>
    <w:rsid w:val="00A10729"/>
    <w:rsid w:val="00A1787C"/>
    <w:rsid w:val="00A256EA"/>
    <w:rsid w:val="00A35D7B"/>
    <w:rsid w:val="00A36351"/>
    <w:rsid w:val="00A44912"/>
    <w:rsid w:val="00A46915"/>
    <w:rsid w:val="00A46F44"/>
    <w:rsid w:val="00A54695"/>
    <w:rsid w:val="00A56042"/>
    <w:rsid w:val="00A56583"/>
    <w:rsid w:val="00A5709B"/>
    <w:rsid w:val="00A67E8F"/>
    <w:rsid w:val="00A7368E"/>
    <w:rsid w:val="00A77576"/>
    <w:rsid w:val="00A778A0"/>
    <w:rsid w:val="00A80811"/>
    <w:rsid w:val="00A91CC1"/>
    <w:rsid w:val="00AC0283"/>
    <w:rsid w:val="00AC6A9D"/>
    <w:rsid w:val="00AD41D7"/>
    <w:rsid w:val="00AE4076"/>
    <w:rsid w:val="00AF10CE"/>
    <w:rsid w:val="00AF1F3A"/>
    <w:rsid w:val="00AF4999"/>
    <w:rsid w:val="00AF71F5"/>
    <w:rsid w:val="00B07130"/>
    <w:rsid w:val="00B10388"/>
    <w:rsid w:val="00B16E57"/>
    <w:rsid w:val="00B24982"/>
    <w:rsid w:val="00B2517A"/>
    <w:rsid w:val="00B33622"/>
    <w:rsid w:val="00B45A91"/>
    <w:rsid w:val="00B47AE0"/>
    <w:rsid w:val="00B51B44"/>
    <w:rsid w:val="00B53291"/>
    <w:rsid w:val="00B65366"/>
    <w:rsid w:val="00B671C2"/>
    <w:rsid w:val="00B71C36"/>
    <w:rsid w:val="00B90EC0"/>
    <w:rsid w:val="00B920F5"/>
    <w:rsid w:val="00B93E36"/>
    <w:rsid w:val="00BB3017"/>
    <w:rsid w:val="00BD00F2"/>
    <w:rsid w:val="00BD0534"/>
    <w:rsid w:val="00BD5565"/>
    <w:rsid w:val="00BE1D46"/>
    <w:rsid w:val="00BE1F9C"/>
    <w:rsid w:val="00BE347E"/>
    <w:rsid w:val="00BF0B03"/>
    <w:rsid w:val="00BF176E"/>
    <w:rsid w:val="00BF2758"/>
    <w:rsid w:val="00BF35F0"/>
    <w:rsid w:val="00BF389C"/>
    <w:rsid w:val="00BF49B4"/>
    <w:rsid w:val="00C06E91"/>
    <w:rsid w:val="00C36047"/>
    <w:rsid w:val="00C44A9A"/>
    <w:rsid w:val="00C45111"/>
    <w:rsid w:val="00C6009F"/>
    <w:rsid w:val="00C72626"/>
    <w:rsid w:val="00C741CE"/>
    <w:rsid w:val="00C93452"/>
    <w:rsid w:val="00C9441D"/>
    <w:rsid w:val="00C95A5F"/>
    <w:rsid w:val="00C97909"/>
    <w:rsid w:val="00C97ABF"/>
    <w:rsid w:val="00CA3488"/>
    <w:rsid w:val="00CA49AD"/>
    <w:rsid w:val="00CA5F34"/>
    <w:rsid w:val="00CB4452"/>
    <w:rsid w:val="00CB4DF8"/>
    <w:rsid w:val="00CB7563"/>
    <w:rsid w:val="00CD0002"/>
    <w:rsid w:val="00CD0515"/>
    <w:rsid w:val="00CD0A3A"/>
    <w:rsid w:val="00CD364E"/>
    <w:rsid w:val="00CE5E0D"/>
    <w:rsid w:val="00CF2109"/>
    <w:rsid w:val="00CF70EB"/>
    <w:rsid w:val="00CF7936"/>
    <w:rsid w:val="00D006FB"/>
    <w:rsid w:val="00D11966"/>
    <w:rsid w:val="00D11A5C"/>
    <w:rsid w:val="00D27703"/>
    <w:rsid w:val="00D33C4D"/>
    <w:rsid w:val="00D366B9"/>
    <w:rsid w:val="00D45507"/>
    <w:rsid w:val="00D5056D"/>
    <w:rsid w:val="00D52473"/>
    <w:rsid w:val="00D54B5F"/>
    <w:rsid w:val="00D54DDD"/>
    <w:rsid w:val="00D66B55"/>
    <w:rsid w:val="00D84349"/>
    <w:rsid w:val="00D91306"/>
    <w:rsid w:val="00D959DB"/>
    <w:rsid w:val="00D9610E"/>
    <w:rsid w:val="00D966FE"/>
    <w:rsid w:val="00D97C49"/>
    <w:rsid w:val="00DA53DA"/>
    <w:rsid w:val="00DB29B1"/>
    <w:rsid w:val="00DD2995"/>
    <w:rsid w:val="00DD4641"/>
    <w:rsid w:val="00DD75C3"/>
    <w:rsid w:val="00DF2750"/>
    <w:rsid w:val="00DF331C"/>
    <w:rsid w:val="00E02BCD"/>
    <w:rsid w:val="00E17CE4"/>
    <w:rsid w:val="00E2131D"/>
    <w:rsid w:val="00E23B6F"/>
    <w:rsid w:val="00E27F8A"/>
    <w:rsid w:val="00E35EAF"/>
    <w:rsid w:val="00E36C11"/>
    <w:rsid w:val="00E56623"/>
    <w:rsid w:val="00E57A7C"/>
    <w:rsid w:val="00E61F03"/>
    <w:rsid w:val="00E72E85"/>
    <w:rsid w:val="00E827AA"/>
    <w:rsid w:val="00E90DFF"/>
    <w:rsid w:val="00EA40B4"/>
    <w:rsid w:val="00EA60DE"/>
    <w:rsid w:val="00EC4513"/>
    <w:rsid w:val="00EC64C4"/>
    <w:rsid w:val="00EC748C"/>
    <w:rsid w:val="00EE19B4"/>
    <w:rsid w:val="00EE1FD5"/>
    <w:rsid w:val="00EE7805"/>
    <w:rsid w:val="00EF65A8"/>
    <w:rsid w:val="00F00778"/>
    <w:rsid w:val="00F03CC3"/>
    <w:rsid w:val="00F06A87"/>
    <w:rsid w:val="00F15F92"/>
    <w:rsid w:val="00F25F84"/>
    <w:rsid w:val="00F26D80"/>
    <w:rsid w:val="00F45C80"/>
    <w:rsid w:val="00F574C8"/>
    <w:rsid w:val="00F61634"/>
    <w:rsid w:val="00F61658"/>
    <w:rsid w:val="00F66503"/>
    <w:rsid w:val="00F669E6"/>
    <w:rsid w:val="00F70966"/>
    <w:rsid w:val="00F728A7"/>
    <w:rsid w:val="00F732E3"/>
    <w:rsid w:val="00F77F6F"/>
    <w:rsid w:val="00F84F01"/>
    <w:rsid w:val="00F85073"/>
    <w:rsid w:val="00F86133"/>
    <w:rsid w:val="00F87D77"/>
    <w:rsid w:val="00F93CB0"/>
    <w:rsid w:val="00F97F14"/>
    <w:rsid w:val="00F97F4A"/>
    <w:rsid w:val="00FA4778"/>
    <w:rsid w:val="00FA65DD"/>
    <w:rsid w:val="00FD05BB"/>
    <w:rsid w:val="00FE6090"/>
    <w:rsid w:val="00FE6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75729A"/>
  <w15:docId w15:val="{974ABDCA-E22B-4404-84A2-4B348A7A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7CE4"/>
    <w:rPr>
      <w:sz w:val="24"/>
      <w:szCs w:val="24"/>
    </w:rPr>
  </w:style>
  <w:style w:type="paragraph" w:styleId="Nagwek1">
    <w:name w:val="heading 1"/>
    <w:basedOn w:val="Normalny"/>
    <w:next w:val="Normalny"/>
    <w:qFormat/>
    <w:pPr>
      <w:keepNext/>
      <w:jc w:val="center"/>
      <w:outlineLvl w:val="0"/>
    </w:pPr>
    <w:rPr>
      <w:b/>
      <w:sz w:val="48"/>
    </w:rPr>
  </w:style>
  <w:style w:type="paragraph" w:styleId="Nagwek2">
    <w:name w:val="heading 2"/>
    <w:basedOn w:val="Normalny"/>
    <w:next w:val="Normalny"/>
    <w:qFormat/>
    <w:pPr>
      <w:keepNext/>
      <w:outlineLvl w:val="1"/>
    </w:pPr>
    <w:rPr>
      <w:i/>
      <w:iCs/>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spacing w:line="360" w:lineRule="auto"/>
      <w:ind w:left="5664"/>
      <w:jc w:val="both"/>
      <w:outlineLvl w:val="3"/>
    </w:pPr>
    <w:rPr>
      <w:i/>
      <w:iCs/>
      <w:sz w:val="28"/>
    </w:rPr>
  </w:style>
  <w:style w:type="paragraph" w:styleId="Nagwek5">
    <w:name w:val="heading 5"/>
    <w:basedOn w:val="Normalny"/>
    <w:next w:val="Normalny"/>
    <w:qFormat/>
    <w:pPr>
      <w:keepNext/>
      <w:jc w:val="both"/>
      <w:outlineLvl w:val="4"/>
    </w:pPr>
    <w:rPr>
      <w:b/>
      <w:bCs/>
      <w:sz w:val="28"/>
    </w:rPr>
  </w:style>
  <w:style w:type="paragraph" w:styleId="Nagwek7">
    <w:name w:val="heading 7"/>
    <w:basedOn w:val="Normalny"/>
    <w:next w:val="Normalny"/>
    <w:qFormat/>
    <w:rsid w:val="00761D7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Hipercze">
    <w:name w:val="Hyperlink"/>
    <w:basedOn w:val="Domylnaczcionkaakapitu"/>
    <w:rPr>
      <w:color w:val="0000FF"/>
      <w:u w:val="single"/>
    </w:rPr>
  </w:style>
  <w:style w:type="character" w:styleId="UyteHipercze">
    <w:name w:val="FollowedHyperlink"/>
    <w:basedOn w:val="Domylnaczcionkaakapitu"/>
    <w:rPr>
      <w:color w:val="800080"/>
      <w:u w:val="single"/>
    </w:rPr>
  </w:style>
  <w:style w:type="paragraph" w:styleId="Tekstpodstawowy">
    <w:name w:val="Body Text"/>
    <w:basedOn w:val="Normalny"/>
    <w:pPr>
      <w:spacing w:line="360" w:lineRule="auto"/>
    </w:pPr>
    <w:rPr>
      <w:sz w:val="26"/>
    </w:rPr>
  </w:style>
  <w:style w:type="paragraph" w:styleId="Tekstpodstawowywcity">
    <w:name w:val="Body Text Indent"/>
    <w:basedOn w:val="Normalny"/>
    <w:pPr>
      <w:ind w:firstLine="708"/>
      <w:jc w:val="both"/>
    </w:pPr>
  </w:style>
  <w:style w:type="paragraph" w:styleId="Tekstpodstawowywcity2">
    <w:name w:val="Body Text Indent 2"/>
    <w:basedOn w:val="Normalny"/>
    <w:pPr>
      <w:ind w:left="708"/>
      <w:jc w:val="both"/>
    </w:pPr>
  </w:style>
  <w:style w:type="paragraph" w:styleId="Tekstpodstawowywcity3">
    <w:name w:val="Body Text Indent 3"/>
    <w:basedOn w:val="Normalny"/>
    <w:pPr>
      <w:ind w:left="5664"/>
    </w:pPr>
  </w:style>
  <w:style w:type="paragraph" w:customStyle="1" w:styleId="Normal12">
    <w:name w:val="Normal12"/>
    <w:basedOn w:val="Normalny"/>
    <w:rsid w:val="00A44912"/>
    <w:pPr>
      <w:widowControl w:val="0"/>
      <w:spacing w:after="240"/>
    </w:pPr>
    <w:rPr>
      <w:szCs w:val="20"/>
      <w:lang w:eastAsia="en-GB"/>
    </w:rPr>
  </w:style>
  <w:style w:type="paragraph" w:styleId="Tekstprzypisudolnego">
    <w:name w:val="footnote text"/>
    <w:basedOn w:val="Normalny"/>
    <w:link w:val="TekstprzypisudolnegoZnak"/>
    <w:rsid w:val="00A44912"/>
    <w:pPr>
      <w:widowControl w:val="0"/>
    </w:pPr>
    <w:rPr>
      <w:sz w:val="20"/>
      <w:szCs w:val="20"/>
      <w:lang w:eastAsia="en-GB"/>
    </w:rPr>
  </w:style>
  <w:style w:type="character" w:styleId="Odwoanieprzypisudolnego">
    <w:name w:val="footnote reference"/>
    <w:basedOn w:val="Domylnaczcionkaakapitu"/>
    <w:rsid w:val="00A44912"/>
    <w:rPr>
      <w:vertAlign w:val="superscript"/>
    </w:rPr>
  </w:style>
  <w:style w:type="paragraph" w:customStyle="1" w:styleId="Normal12Italic">
    <w:name w:val="Normal12Italic"/>
    <w:basedOn w:val="Normal12"/>
    <w:rsid w:val="00A03E90"/>
    <w:rPr>
      <w:i/>
      <w:iCs/>
      <w:noProof/>
      <w:snapToGrid w:val="0"/>
      <w:szCs w:val="24"/>
      <w:lang w:val="en-GB"/>
    </w:rPr>
  </w:style>
  <w:style w:type="paragraph" w:styleId="HTML-wstpniesformatowany">
    <w:name w:val="HTML Preformatted"/>
    <w:basedOn w:val="Normalny"/>
    <w:rsid w:val="00CA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rPr>
  </w:style>
  <w:style w:type="paragraph" w:styleId="NormalnyWeb">
    <w:name w:val="Normal (Web)"/>
    <w:basedOn w:val="Normalny"/>
    <w:rsid w:val="00CA3488"/>
    <w:pPr>
      <w:spacing w:before="100" w:beforeAutospacing="1" w:after="100" w:afterAutospacing="1"/>
    </w:pPr>
  </w:style>
  <w:style w:type="paragraph" w:customStyle="1" w:styleId="Default">
    <w:name w:val="Default"/>
    <w:rsid w:val="00913517"/>
    <w:pPr>
      <w:autoSpaceDE w:val="0"/>
      <w:autoSpaceDN w:val="0"/>
      <w:adjustRightInd w:val="0"/>
    </w:pPr>
    <w:rPr>
      <w:rFonts w:ascii="EUAlbertina" w:hAnsi="EUAlbertina" w:cs="EUAlbertina"/>
      <w:color w:val="000000"/>
      <w:sz w:val="24"/>
      <w:szCs w:val="24"/>
    </w:rPr>
  </w:style>
  <w:style w:type="paragraph" w:styleId="Tekstdymka">
    <w:name w:val="Balloon Text"/>
    <w:basedOn w:val="Normalny"/>
    <w:semiHidden/>
    <w:rsid w:val="00F66503"/>
    <w:rPr>
      <w:rFonts w:ascii="Tahoma" w:hAnsi="Tahoma" w:cs="Tahoma"/>
      <w:sz w:val="16"/>
      <w:szCs w:val="16"/>
    </w:rPr>
  </w:style>
  <w:style w:type="character" w:customStyle="1" w:styleId="luchili">
    <w:name w:val="luc_hili"/>
    <w:basedOn w:val="Domylnaczcionkaakapitu"/>
    <w:rsid w:val="00773463"/>
  </w:style>
  <w:style w:type="table" w:styleId="Tabela-Siatka">
    <w:name w:val="Table Grid"/>
    <w:basedOn w:val="Standardowy"/>
    <w:rsid w:val="00B45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
    <w:name w:val="val"/>
    <w:basedOn w:val="Normalny"/>
    <w:rsid w:val="00D5056D"/>
    <w:pPr>
      <w:spacing w:before="100" w:beforeAutospacing="1" w:after="100" w:afterAutospacing="1"/>
    </w:pPr>
  </w:style>
  <w:style w:type="paragraph" w:customStyle="1" w:styleId="tekstzboku">
    <w:name w:val="tekst z boku"/>
    <w:basedOn w:val="Normalny"/>
    <w:qFormat/>
    <w:rsid w:val="00FE6090"/>
    <w:pPr>
      <w:spacing w:before="120" w:line="240" w:lineRule="exact"/>
    </w:pPr>
    <w:rPr>
      <w:rFonts w:ascii="Fira Sans" w:hAnsi="Fira Sans"/>
      <w:bCs/>
      <w:color w:val="001D77"/>
      <w:sz w:val="18"/>
      <w:szCs w:val="18"/>
    </w:rPr>
  </w:style>
  <w:style w:type="character" w:customStyle="1" w:styleId="TekstprzypisudolnegoZnak">
    <w:name w:val="Tekst przypisu dolnego Znak"/>
    <w:basedOn w:val="Domylnaczcionkaakapitu"/>
    <w:link w:val="Tekstprzypisudolnego"/>
    <w:rsid w:val="00FE6090"/>
    <w:rPr>
      <w:lang w:eastAsia="en-GB"/>
    </w:rPr>
  </w:style>
  <w:style w:type="paragraph" w:customStyle="1" w:styleId="tytuwykresu">
    <w:name w:val="tytuł wykresu"/>
    <w:basedOn w:val="Normalny"/>
    <w:qFormat/>
    <w:rsid w:val="00FE6090"/>
    <w:pPr>
      <w:spacing w:before="360" w:after="120"/>
    </w:pPr>
    <w:rPr>
      <w:rFonts w:ascii="Fira Sans" w:eastAsia="Fira Sans Light" w:hAnsi="Fira Sans"/>
      <w:b/>
      <w:color w:val="000000"/>
      <w:spacing w:val="-2"/>
      <w:sz w:val="19"/>
      <w:szCs w:val="22"/>
      <w:lang w:eastAsia="en-US"/>
    </w:rPr>
  </w:style>
  <w:style w:type="paragraph" w:customStyle="1" w:styleId="Brakstyluakapitowego">
    <w:name w:val="[Brak stylu akapitowego]"/>
    <w:qFormat/>
    <w:rsid w:val="00FE6090"/>
    <w:pPr>
      <w:widowControl w:val="0"/>
      <w:autoSpaceDE w:val="0"/>
      <w:autoSpaceDN w:val="0"/>
      <w:adjustRightInd w:val="0"/>
      <w:spacing w:line="288" w:lineRule="auto"/>
      <w:textAlignment w:val="center"/>
    </w:pPr>
    <w:rPr>
      <w:color w:val="000000"/>
      <w:sz w:val="24"/>
      <w:szCs w:val="24"/>
      <w:lang w:val="en-GB"/>
    </w:rPr>
  </w:style>
  <w:style w:type="character" w:customStyle="1" w:styleId="StopkaZnak">
    <w:name w:val="Stopka Znak"/>
    <w:basedOn w:val="Domylnaczcionkaakapitu"/>
    <w:link w:val="Stopka"/>
    <w:uiPriority w:val="99"/>
    <w:rsid w:val="00235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297">
      <w:bodyDiv w:val="1"/>
      <w:marLeft w:val="0"/>
      <w:marRight w:val="0"/>
      <w:marTop w:val="0"/>
      <w:marBottom w:val="0"/>
      <w:divBdr>
        <w:top w:val="none" w:sz="0" w:space="0" w:color="auto"/>
        <w:left w:val="none" w:sz="0" w:space="0" w:color="auto"/>
        <w:bottom w:val="none" w:sz="0" w:space="0" w:color="auto"/>
        <w:right w:val="none" w:sz="0" w:space="0" w:color="auto"/>
      </w:divBdr>
    </w:div>
    <w:div w:id="112990580">
      <w:bodyDiv w:val="1"/>
      <w:marLeft w:val="0"/>
      <w:marRight w:val="0"/>
      <w:marTop w:val="0"/>
      <w:marBottom w:val="0"/>
      <w:divBdr>
        <w:top w:val="none" w:sz="0" w:space="0" w:color="auto"/>
        <w:left w:val="none" w:sz="0" w:space="0" w:color="auto"/>
        <w:bottom w:val="none" w:sz="0" w:space="0" w:color="auto"/>
        <w:right w:val="none" w:sz="0" w:space="0" w:color="auto"/>
      </w:divBdr>
    </w:div>
    <w:div w:id="1829050533">
      <w:bodyDiv w:val="1"/>
      <w:marLeft w:val="0"/>
      <w:marRight w:val="0"/>
      <w:marTop w:val="0"/>
      <w:marBottom w:val="0"/>
      <w:divBdr>
        <w:top w:val="none" w:sz="0" w:space="0" w:color="auto"/>
        <w:left w:val="none" w:sz="0" w:space="0" w:color="auto"/>
        <w:bottom w:val="none" w:sz="0" w:space="0" w:color="auto"/>
        <w:right w:val="none" w:sz="0" w:space="0" w:color="auto"/>
      </w:divBdr>
      <w:divsChild>
        <w:div w:id="824321733">
          <w:marLeft w:val="150"/>
          <w:marRight w:val="0"/>
          <w:marTop w:val="0"/>
          <w:marBottom w:val="0"/>
          <w:divBdr>
            <w:top w:val="none" w:sz="0" w:space="0" w:color="auto"/>
            <w:left w:val="none" w:sz="0" w:space="0" w:color="auto"/>
            <w:bottom w:val="none" w:sz="0" w:space="0" w:color="auto"/>
            <w:right w:val="none" w:sz="0" w:space="0" w:color="auto"/>
          </w:divBdr>
          <w:divsChild>
            <w:div w:id="1329484794">
              <w:marLeft w:val="0"/>
              <w:marRight w:val="0"/>
              <w:marTop w:val="0"/>
              <w:marBottom w:val="0"/>
              <w:divBdr>
                <w:top w:val="none" w:sz="0" w:space="0" w:color="auto"/>
                <w:left w:val="none" w:sz="0" w:space="0" w:color="auto"/>
                <w:bottom w:val="none" w:sz="0" w:space="0" w:color="auto"/>
                <w:right w:val="none" w:sz="0" w:space="0" w:color="auto"/>
              </w:divBdr>
              <w:divsChild>
                <w:div w:id="854223304">
                  <w:marLeft w:val="150"/>
                  <w:marRight w:val="150"/>
                  <w:marTop w:val="0"/>
                  <w:marBottom w:val="0"/>
                  <w:divBdr>
                    <w:top w:val="none" w:sz="0" w:space="0" w:color="auto"/>
                    <w:left w:val="none" w:sz="0" w:space="0" w:color="auto"/>
                    <w:bottom w:val="none" w:sz="0" w:space="0" w:color="auto"/>
                    <w:right w:val="none" w:sz="0" w:space="0" w:color="auto"/>
                  </w:divBdr>
                  <w:divsChild>
                    <w:div w:id="16675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549473">
      <w:bodyDiv w:val="1"/>
      <w:marLeft w:val="0"/>
      <w:marRight w:val="0"/>
      <w:marTop w:val="0"/>
      <w:marBottom w:val="0"/>
      <w:divBdr>
        <w:top w:val="none" w:sz="0" w:space="0" w:color="auto"/>
        <w:left w:val="none" w:sz="0" w:space="0" w:color="auto"/>
        <w:bottom w:val="none" w:sz="0" w:space="0" w:color="auto"/>
        <w:right w:val="none" w:sz="0" w:space="0" w:color="auto"/>
      </w:divBdr>
    </w:div>
    <w:div w:id="20755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1\Dane%20aplikacji\Microsoft\Szablony\Logo%20papier%20firmowy%20DUM%20P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9480-F9A2-4FEB-B4C2-43302630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papier firmowy DUM PL</Template>
  <TotalTime>57</TotalTime>
  <Pages>7</Pages>
  <Words>1612</Words>
  <Characters>10216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11805</CharactersWithSpaces>
  <SharedDoc>false</SharedDoc>
  <HLinks>
    <vt:vector size="6" baseType="variant">
      <vt:variant>
        <vt:i4>6356997</vt:i4>
      </vt:variant>
      <vt:variant>
        <vt:i4>0</vt:i4>
      </vt:variant>
      <vt:variant>
        <vt:i4>0</vt:i4>
      </vt:variant>
      <vt:variant>
        <vt:i4>5</vt:i4>
      </vt:variant>
      <vt:variant>
        <vt:lpwstr>mailto:dim@umgdy.gov.pl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Malińska</dc:creator>
  <cp:lastModifiedBy>Karolina Zalach</cp:lastModifiedBy>
  <cp:revision>6</cp:revision>
  <cp:lastPrinted>2023-05-22T06:33:00Z</cp:lastPrinted>
  <dcterms:created xsi:type="dcterms:W3CDTF">2023-05-18T09:17:00Z</dcterms:created>
  <dcterms:modified xsi:type="dcterms:W3CDTF">2023-05-22T07:01:00Z</dcterms:modified>
</cp:coreProperties>
</file>