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2FF4" w14:textId="77777777" w:rsidR="005D3076" w:rsidRPr="00921F08" w:rsidRDefault="005D3076">
      <w:pPr>
        <w:jc w:val="both"/>
        <w:rPr>
          <w:rFonts w:asciiTheme="minorHAnsi" w:hAnsiTheme="minorHAnsi" w:cstheme="minorHAnsi"/>
          <w:sz w:val="24"/>
          <w:szCs w:val="24"/>
        </w:rPr>
      </w:pPr>
      <w:r w:rsidRPr="00921F08">
        <w:rPr>
          <w:rFonts w:asciiTheme="minorHAnsi" w:hAnsiTheme="minorHAnsi" w:cstheme="minorHAnsi"/>
          <w:b/>
          <w:bCs/>
          <w:sz w:val="24"/>
          <w:szCs w:val="24"/>
        </w:rPr>
        <w:t>Pomor.2004.136.2403</w:t>
      </w:r>
    </w:p>
    <w:p w14:paraId="3175B04B" w14:textId="08137DB8" w:rsidR="005D3076" w:rsidRPr="00951213" w:rsidRDefault="005D3076" w:rsidP="00CE3275">
      <w:pPr>
        <w:pStyle w:val="Nagwek1"/>
        <w:jc w:val="center"/>
        <w:rPr>
          <w:rFonts w:asciiTheme="minorHAnsi" w:hAnsiTheme="minorHAnsi" w:cstheme="minorHAnsi"/>
          <w:b w:val="0"/>
          <w:bCs w:val="0"/>
          <w:sz w:val="28"/>
          <w:szCs w:val="28"/>
        </w:rPr>
      </w:pPr>
      <w:r w:rsidRPr="00951213">
        <w:rPr>
          <w:rFonts w:asciiTheme="minorHAnsi" w:hAnsiTheme="minorHAnsi" w:cstheme="minorHAnsi"/>
          <w:sz w:val="28"/>
          <w:szCs w:val="28"/>
        </w:rPr>
        <w:t>Z</w:t>
      </w:r>
      <w:r w:rsidR="007A1D43" w:rsidRPr="00951213">
        <w:rPr>
          <w:rFonts w:asciiTheme="minorHAnsi" w:hAnsiTheme="minorHAnsi" w:cstheme="minorHAnsi"/>
          <w:sz w:val="28"/>
          <w:szCs w:val="28"/>
        </w:rPr>
        <w:t>arządzenie</w:t>
      </w:r>
      <w:r w:rsidRPr="00951213">
        <w:rPr>
          <w:rFonts w:asciiTheme="minorHAnsi" w:hAnsiTheme="minorHAnsi" w:cstheme="minorHAnsi"/>
          <w:sz w:val="28"/>
          <w:szCs w:val="28"/>
        </w:rPr>
        <w:t xml:space="preserve"> Nr 17</w:t>
      </w:r>
      <w:r w:rsidR="00CE3275" w:rsidRPr="00951213">
        <w:rPr>
          <w:rFonts w:asciiTheme="minorHAnsi" w:hAnsiTheme="minorHAnsi" w:cstheme="minorHAnsi"/>
          <w:sz w:val="28"/>
          <w:szCs w:val="28"/>
        </w:rPr>
        <w:br/>
      </w:r>
      <w:r w:rsidRPr="00951213">
        <w:rPr>
          <w:rFonts w:asciiTheme="minorHAnsi" w:hAnsiTheme="minorHAnsi" w:cstheme="minorHAnsi"/>
          <w:sz w:val="28"/>
          <w:szCs w:val="28"/>
        </w:rPr>
        <w:t>Dyrektora Urzędu Morskiego w Gdyni</w:t>
      </w:r>
      <w:r w:rsidR="00CE3275" w:rsidRPr="00951213">
        <w:rPr>
          <w:rFonts w:asciiTheme="minorHAnsi" w:hAnsiTheme="minorHAnsi" w:cstheme="minorHAnsi"/>
          <w:sz w:val="28"/>
          <w:szCs w:val="28"/>
        </w:rPr>
        <w:br/>
      </w:r>
      <w:r w:rsidRPr="00951213">
        <w:rPr>
          <w:rFonts w:asciiTheme="minorHAnsi" w:hAnsiTheme="minorHAnsi" w:cstheme="minorHAnsi"/>
          <w:b w:val="0"/>
          <w:bCs w:val="0"/>
          <w:sz w:val="28"/>
          <w:szCs w:val="28"/>
        </w:rPr>
        <w:t>z dnia 13 października 2004 r.</w:t>
      </w:r>
      <w:r w:rsidR="00CE3275" w:rsidRPr="00951213">
        <w:rPr>
          <w:rFonts w:asciiTheme="minorHAnsi" w:hAnsiTheme="minorHAnsi" w:cstheme="minorHAnsi"/>
          <w:b w:val="0"/>
          <w:bCs w:val="0"/>
          <w:sz w:val="28"/>
          <w:szCs w:val="28"/>
        </w:rPr>
        <w:br/>
      </w:r>
      <w:r w:rsidRPr="00951213">
        <w:rPr>
          <w:rFonts w:asciiTheme="minorHAnsi" w:hAnsiTheme="minorHAnsi" w:cstheme="minorHAnsi"/>
          <w:b w:val="0"/>
          <w:bCs w:val="0"/>
          <w:sz w:val="28"/>
          <w:szCs w:val="28"/>
        </w:rPr>
        <w:t>w sprawie określenia granic pasa ochronnego na terenie Gminy Kosakowo</w:t>
      </w:r>
    </w:p>
    <w:p w14:paraId="0AF903CB" w14:textId="77777777" w:rsidR="005D3076" w:rsidRPr="00951213" w:rsidRDefault="005D3076" w:rsidP="00921F08">
      <w:pPr>
        <w:spacing w:before="240" w:after="480" w:line="271" w:lineRule="auto"/>
        <w:jc w:val="center"/>
        <w:rPr>
          <w:rFonts w:asciiTheme="minorHAnsi" w:hAnsiTheme="minorHAnsi" w:cstheme="minorHAnsi"/>
          <w:sz w:val="24"/>
          <w:szCs w:val="24"/>
        </w:rPr>
      </w:pPr>
      <w:r w:rsidRPr="00951213">
        <w:rPr>
          <w:rFonts w:asciiTheme="minorHAnsi" w:hAnsiTheme="minorHAnsi" w:cstheme="minorHAnsi"/>
          <w:sz w:val="24"/>
          <w:szCs w:val="24"/>
        </w:rPr>
        <w:t>(Gdańsk, dnia 10 listopada 2004 r.)</w:t>
      </w:r>
    </w:p>
    <w:p w14:paraId="0E132E5C" w14:textId="77777777" w:rsidR="005D3076" w:rsidRPr="00921F08" w:rsidRDefault="005D3076" w:rsidP="00921F08">
      <w:pPr>
        <w:spacing w:after="240" w:line="271" w:lineRule="auto"/>
        <w:ind w:firstLine="431"/>
        <w:rPr>
          <w:rFonts w:asciiTheme="minorHAnsi" w:hAnsiTheme="minorHAnsi" w:cstheme="minorHAnsi"/>
          <w:sz w:val="24"/>
          <w:szCs w:val="24"/>
        </w:rPr>
      </w:pPr>
      <w:r w:rsidRPr="00921F08">
        <w:rPr>
          <w:rFonts w:asciiTheme="minorHAnsi" w:hAnsiTheme="minorHAnsi" w:cstheme="minorHAnsi"/>
          <w:sz w:val="24"/>
          <w:szCs w:val="24"/>
        </w:rPr>
        <w:t xml:space="preserve">Na podstawie art. 47 w związku z art. 36 ust 5 ustawy z dnia 21 marca 1991 </w:t>
      </w:r>
      <w:proofErr w:type="spellStart"/>
      <w:r w:rsidRPr="00921F08">
        <w:rPr>
          <w:rFonts w:asciiTheme="minorHAnsi" w:hAnsiTheme="minorHAnsi" w:cstheme="minorHAnsi"/>
          <w:sz w:val="24"/>
          <w:szCs w:val="24"/>
        </w:rPr>
        <w:t>r.o</w:t>
      </w:r>
      <w:proofErr w:type="spellEnd"/>
      <w:r w:rsidRPr="00921F08">
        <w:rPr>
          <w:rFonts w:asciiTheme="minorHAnsi" w:hAnsiTheme="minorHAnsi" w:cstheme="minorHAnsi"/>
          <w:sz w:val="24"/>
          <w:szCs w:val="24"/>
        </w:rPr>
        <w:t xml:space="preserve"> obszarach morskich Rzeczypospolitej Polskiej i administracji morskiej (j.t. Dz.U. z 2003 r. Nr 153, </w:t>
      </w:r>
      <w:proofErr w:type="spellStart"/>
      <w:r w:rsidRPr="00921F08">
        <w:rPr>
          <w:rFonts w:asciiTheme="minorHAnsi" w:hAnsiTheme="minorHAnsi" w:cstheme="minorHAnsi"/>
          <w:sz w:val="24"/>
          <w:szCs w:val="24"/>
        </w:rPr>
        <w:t>poz</w:t>
      </w:r>
      <w:proofErr w:type="spellEnd"/>
      <w:r w:rsidRPr="00921F08">
        <w:rPr>
          <w:rFonts w:asciiTheme="minorHAnsi" w:hAnsiTheme="minorHAnsi" w:cstheme="minorHAnsi"/>
          <w:sz w:val="24"/>
          <w:szCs w:val="24"/>
        </w:rPr>
        <w:t xml:space="preserve"> 1502, Nr 170, poz. 1652, z 2004 r. Nr 6, poz. 41, Nr 93, poz. 895) oraz rozporządzenia Rady Ministrów z dnia 29 kwietnia 2003 r. w sprawie określenia minimalnej i maksymalnej szerokości pasa technicznego i ochronnego oraz sposobu wyznaczania ich granic (Dz.U. Nr 89, poz. 820) zarządza się co następuje:</w:t>
      </w:r>
    </w:p>
    <w:p w14:paraId="10E627F6" w14:textId="03B2BFA7" w:rsidR="005D3076" w:rsidRPr="00CE3275" w:rsidRDefault="005D3076" w:rsidP="00CE3275">
      <w:pPr>
        <w:pStyle w:val="Akapitzlist"/>
        <w:numPr>
          <w:ilvl w:val="0"/>
          <w:numId w:val="1"/>
        </w:numPr>
        <w:spacing w:before="240" w:line="271" w:lineRule="auto"/>
        <w:ind w:left="357" w:hanging="357"/>
        <w:rPr>
          <w:rFonts w:asciiTheme="minorHAnsi" w:hAnsiTheme="minorHAnsi" w:cstheme="minorHAnsi"/>
          <w:sz w:val="24"/>
          <w:szCs w:val="24"/>
        </w:rPr>
      </w:pPr>
      <w:r w:rsidRPr="00CE3275">
        <w:rPr>
          <w:rFonts w:asciiTheme="minorHAnsi" w:hAnsiTheme="minorHAnsi" w:cstheme="minorHAnsi"/>
          <w:sz w:val="24"/>
          <w:szCs w:val="24"/>
        </w:rPr>
        <w:t>Określa się granice pasa ochronnego na terenie Gminy Kosakowo (woj. pomorskie, powiat Puck) poprzez ogłoszenie opisu geograficznego jak poniżej:</w:t>
      </w:r>
    </w:p>
    <w:p w14:paraId="6897C61B"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Granica pasa ochronnego w gminie Kosakowo biegnie od punktu Nr 1, położonego na przecięciu granicy Miasta Gdyni ze wschodnią linią regulacyjną ul. Zielonej, na północny zachód do punktu Nr 2, w którym skręca na południowy zachód środkiem drogi gruntowej do punktu Nr 3.</w:t>
      </w:r>
    </w:p>
    <w:p w14:paraId="2197ED6D"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Od punktu Nr 3, granica wraz z drogą skręca na północny zachód do punktu Nr 4, od którego biegnie na północ środkiem drogi gruntowej do punktu Nr 5, znajdującego się na przecięciu osi drogi gruntowej z północną krawędzią drogi utwardzonej.</w:t>
      </w:r>
    </w:p>
    <w:p w14:paraId="5C7C2C7D"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W punkcie Nr 5, granica tą samą krawędzią drogi skręca na zachód do punktu Nr 6 i północny zachód do punktu Nr 7, a następnie skręca na zachód do punktu Nr 8, położonego przy skrzyżowaniu ww. drogi utwardzonej z drogami gruntowymi - przy wjeździe od południowej strony do wsi Pierwoszyno.</w:t>
      </w:r>
    </w:p>
    <w:p w14:paraId="22C3929A"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Od punktu Nr 8, granica biegnie wschodnią krawędzią drogi do skrzyżowania z ul. Kaszubską do punktu Nr 9, a następnie na północ przez miejscowość Pierwoszyno i dalej w tym samym kierunku wschodnią krawędzią ul. Gdyńskiej dochodzi do punktu Nr 10 w miejscowości Mosty.</w:t>
      </w:r>
    </w:p>
    <w:p w14:paraId="43DBD398"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Od punktu Nr 10, granica pasa ochronnego skręca na północny zachód po osi drogi utwardzonej do punktu Nr 11, następnie skręca na północ do punktu Nr 12, po czym tą samą drogą skręca na zachód do punktu Nr 13, położonego na początku wału ochronnego Moście Błota.</w:t>
      </w:r>
    </w:p>
    <w:p w14:paraId="63514A27"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Od punktu Nr 13, granica biegnie na południowy zachód wzdłuż wału, północną granicą jezdni asfaltowej do punktu Nr 14, w którym skręca na zachód do punktu Nr 15.</w:t>
      </w:r>
    </w:p>
    <w:p w14:paraId="4096B580"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lastRenderedPageBreak/>
        <w:t>W punkcie Nr 15, granica odchodzi od wału na południowy zachód i biegnie północną krawędzią drogi do punktu Nr 16.</w:t>
      </w:r>
    </w:p>
    <w:p w14:paraId="70BDC896"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W punkcie Nr 16, granica pasa ochronnego skręca na północny zachód i biegnie w dalszym ciągu północną krawędzią ww. drogi asfaltowej do punktu Nr 17, położonego przy jej zakręcie w kierunku zachodnim.</w:t>
      </w:r>
    </w:p>
    <w:p w14:paraId="3BC52192"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Od punktu Nr 17, granica skręca na zachód do punktu Nr 18, położonego przy południowo zachodnim narożniku dwóch zbiorników wodnych, gdzie łukiem wzdłuż wschodniej krawędzi drogi asfaltowej kieruje się na północ do punktu Nr 19, znajdującego się na granicy z Gminą Puck. .</w:t>
      </w:r>
    </w:p>
    <w:p w14:paraId="14A5BA47"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Powyższy opis sporządzono w oparciu o wywiad w terenie i mapy topograficzne w skali 1:10.000, wydane przez Głównego Geodetę Kraju w roku 2000, o numerach:</w:t>
      </w:r>
    </w:p>
    <w:p w14:paraId="34E80046" w14:textId="77777777" w:rsidR="005D3076" w:rsidRPr="00921F08" w:rsidRDefault="005D3076" w:rsidP="00921F08">
      <w:pPr>
        <w:spacing w:line="271" w:lineRule="auto"/>
        <w:rPr>
          <w:rFonts w:asciiTheme="minorHAnsi" w:hAnsiTheme="minorHAnsi" w:cstheme="minorHAnsi"/>
          <w:sz w:val="24"/>
          <w:szCs w:val="24"/>
        </w:rPr>
      </w:pPr>
      <w:r w:rsidRPr="00921F08">
        <w:rPr>
          <w:rFonts w:asciiTheme="minorHAnsi" w:hAnsiTheme="minorHAnsi" w:cstheme="minorHAnsi"/>
          <w:sz w:val="24"/>
          <w:szCs w:val="24"/>
        </w:rPr>
        <w:t>N-34-50-A-a-3, N-34-50-A-c-1, N-34-50-A-a-1, N-34-49-B-b-4, N-34-49-B-b-2 .</w:t>
      </w:r>
    </w:p>
    <w:p w14:paraId="435F4609" w14:textId="7D3F506E" w:rsidR="005D3076" w:rsidRPr="00C43C86" w:rsidRDefault="005D3076" w:rsidP="00C43C86">
      <w:pPr>
        <w:pStyle w:val="Akapitzlist"/>
        <w:numPr>
          <w:ilvl w:val="0"/>
          <w:numId w:val="1"/>
        </w:numPr>
        <w:spacing w:before="240" w:line="271" w:lineRule="auto"/>
        <w:ind w:left="357" w:hanging="357"/>
        <w:rPr>
          <w:rFonts w:asciiTheme="minorHAnsi" w:hAnsiTheme="minorHAnsi" w:cstheme="minorHAnsi"/>
          <w:sz w:val="24"/>
          <w:szCs w:val="24"/>
        </w:rPr>
      </w:pPr>
      <w:r w:rsidRPr="00C43C86">
        <w:rPr>
          <w:rFonts w:asciiTheme="minorHAnsi" w:hAnsiTheme="minorHAnsi" w:cstheme="minorHAnsi"/>
          <w:sz w:val="24"/>
          <w:szCs w:val="24"/>
        </w:rPr>
        <w:t> Załącznikiem do niniejszego zarządzenia jest montaż ww. map topograficznych w skali 1:10.000 z naniesioną granicą pasa ochronnego w Gminie Kosakowo. Załącznik nie podlega publikacji.</w:t>
      </w:r>
    </w:p>
    <w:p w14:paraId="390EA17C" w14:textId="77777777" w:rsidR="005D3076" w:rsidRPr="00921F08" w:rsidRDefault="005D3076" w:rsidP="00921F08">
      <w:pPr>
        <w:spacing w:line="271" w:lineRule="auto"/>
        <w:ind w:firstLine="426"/>
        <w:rPr>
          <w:rFonts w:asciiTheme="minorHAnsi" w:hAnsiTheme="minorHAnsi" w:cstheme="minorHAnsi"/>
          <w:sz w:val="24"/>
          <w:szCs w:val="24"/>
        </w:rPr>
      </w:pPr>
      <w:r w:rsidRPr="00921F08">
        <w:rPr>
          <w:rFonts w:asciiTheme="minorHAnsi" w:hAnsiTheme="minorHAnsi" w:cstheme="minorHAnsi"/>
          <w:sz w:val="24"/>
          <w:szCs w:val="24"/>
        </w:rPr>
        <w:t>Po jednym egzemplarzu załącznika znajduje się w Urzędzie Morskim w Gdyni oraz w Powiatowym Ośrodku Dokumentacji Geodezyjnej i Kartograficznej w Pucku.</w:t>
      </w:r>
    </w:p>
    <w:p w14:paraId="0155E034" w14:textId="72225D18" w:rsidR="005D3076" w:rsidRPr="00C43C86" w:rsidRDefault="005D3076" w:rsidP="00C43C86">
      <w:pPr>
        <w:pStyle w:val="Akapitzlist"/>
        <w:numPr>
          <w:ilvl w:val="0"/>
          <w:numId w:val="1"/>
        </w:numPr>
        <w:spacing w:before="240" w:line="271" w:lineRule="auto"/>
        <w:ind w:left="357" w:hanging="357"/>
        <w:rPr>
          <w:rFonts w:asciiTheme="minorHAnsi" w:hAnsiTheme="minorHAnsi" w:cstheme="minorHAnsi"/>
          <w:sz w:val="24"/>
          <w:szCs w:val="24"/>
        </w:rPr>
      </w:pPr>
      <w:r w:rsidRPr="00C43C86">
        <w:rPr>
          <w:rFonts w:asciiTheme="minorHAnsi" w:hAnsiTheme="minorHAnsi" w:cstheme="minorHAnsi"/>
          <w:sz w:val="24"/>
          <w:szCs w:val="24"/>
        </w:rPr>
        <w:t>Zarządzenie wchodzi w życie po upływie 14 dni od dnia ogłoszenia w Dzienniku Urzędowym województwa Pomorskiego i Warmińsko - Mazurskiego.</w:t>
      </w:r>
    </w:p>
    <w:sectPr w:rsidR="005D3076" w:rsidRPr="00C43C8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25686"/>
    <w:multiLevelType w:val="hybridMultilevel"/>
    <w:tmpl w:val="F1ECAB86"/>
    <w:lvl w:ilvl="0" w:tplc="79EE0E96">
      <w:start w:val="1"/>
      <w:numFmt w:val="decimal"/>
      <w:lvlText w:val="§%1."/>
      <w:lvlJc w:val="left"/>
      <w:pPr>
        <w:ind w:left="1200" w:hanging="360"/>
      </w:pPr>
      <w:rPr>
        <w:rFonts w:hint="default"/>
        <w:b/>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16cid:durableId="117056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72"/>
    <w:rsid w:val="005D3076"/>
    <w:rsid w:val="007A1D43"/>
    <w:rsid w:val="00921F08"/>
    <w:rsid w:val="00951213"/>
    <w:rsid w:val="00C43C86"/>
    <w:rsid w:val="00CE3275"/>
    <w:rsid w:val="00D24072"/>
    <w:rsid w:val="00EF7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C5ADF"/>
  <w14:defaultImageDpi w14:val="0"/>
  <w15:docId w15:val="{C9105D0F-DA3C-4064-9FC8-A3910F1A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paragraph" w:styleId="Nagwek1">
    <w:name w:val="heading 1"/>
    <w:basedOn w:val="Normalny"/>
    <w:next w:val="Normalny"/>
    <w:link w:val="Nagwek1Znak"/>
    <w:uiPriority w:val="9"/>
    <w:qFormat/>
    <w:rsid w:val="00921F08"/>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character" w:customStyle="1" w:styleId="Nagwek1Znak">
    <w:name w:val="Nagłówek 1 Znak"/>
    <w:basedOn w:val="Domylnaczcionkaakapitu"/>
    <w:link w:val="Nagwek1"/>
    <w:uiPriority w:val="9"/>
    <w:rsid w:val="00921F08"/>
    <w:rPr>
      <w:rFonts w:asciiTheme="majorHAnsi" w:eastAsiaTheme="majorEastAsia" w:hAnsiTheme="majorHAnsi" w:cstheme="majorBidi"/>
      <w:b/>
      <w:bCs/>
      <w:kern w:val="32"/>
      <w:sz w:val="32"/>
      <w:szCs w:val="32"/>
    </w:rPr>
  </w:style>
  <w:style w:type="paragraph" w:styleId="Akapitzlist">
    <w:name w:val="List Paragraph"/>
    <w:basedOn w:val="Normalny"/>
    <w:uiPriority w:val="34"/>
    <w:qFormat/>
    <w:rsid w:val="00CE3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517</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Zarządzenie Nr 17/2004</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17/2004</dc:title>
  <dc:subject/>
  <dc:creator>Marzena Gospodarczyk</dc:creator>
  <cp:keywords/>
  <dc:description/>
  <cp:lastModifiedBy>Marzena Gospodarczyk</cp:lastModifiedBy>
  <cp:revision>5</cp:revision>
  <dcterms:created xsi:type="dcterms:W3CDTF">2021-03-24T07:38:00Z</dcterms:created>
  <dcterms:modified xsi:type="dcterms:W3CDTF">2022-06-08T10:30:00Z</dcterms:modified>
</cp:coreProperties>
</file>