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49A7B" w14:textId="77777777" w:rsidR="005D0F79" w:rsidRDefault="005D0F79" w:rsidP="0039718E">
      <w:pPr>
        <w:jc w:val="center"/>
        <w:rPr>
          <w:b/>
          <w:sz w:val="28"/>
        </w:rPr>
      </w:pPr>
    </w:p>
    <w:p w14:paraId="19E72578" w14:textId="77777777" w:rsidR="00032F67" w:rsidRPr="0039718E" w:rsidRDefault="00032F67" w:rsidP="00032F67">
      <w:pPr>
        <w:jc w:val="center"/>
        <w:rPr>
          <w:b/>
          <w:sz w:val="28"/>
        </w:rPr>
      </w:pPr>
      <w:r>
        <w:rPr>
          <w:b/>
          <w:sz w:val="28"/>
        </w:rPr>
        <w:t>SZCZEGÓŁOWY OPIS PRZEDMIOTU ZAMÓWIENIA</w:t>
      </w:r>
    </w:p>
    <w:p w14:paraId="53953CB1" w14:textId="662C36CC" w:rsidR="00E54839" w:rsidRDefault="0032390E" w:rsidP="00E54839">
      <w:pPr>
        <w:jc w:val="both"/>
        <w:rPr>
          <w:sz w:val="20"/>
        </w:rPr>
      </w:pPr>
      <w:r w:rsidRPr="00AB7A30">
        <w:rPr>
          <w:sz w:val="20"/>
        </w:rPr>
        <w:t xml:space="preserve">Przedmiotem zamówienia jest dostawa </w:t>
      </w:r>
      <w:r w:rsidR="001F24D4">
        <w:rPr>
          <w:sz w:val="20"/>
        </w:rPr>
        <w:t>licencji na oprogramowanie</w:t>
      </w:r>
      <w:r w:rsidR="00F62BE7">
        <w:rPr>
          <w:sz w:val="20"/>
        </w:rPr>
        <w:t xml:space="preserve"> serwera bazodanowego</w:t>
      </w:r>
      <w:r w:rsidR="001F24D4">
        <w:rPr>
          <w:sz w:val="20"/>
        </w:rPr>
        <w:t xml:space="preserve"> </w:t>
      </w:r>
      <w:r w:rsidR="00F62BE7">
        <w:rPr>
          <w:sz w:val="20"/>
        </w:rPr>
        <w:t xml:space="preserve">wraz z usługą asysty technicznej. Celem zamówienia jest zapewnienie wydajnego i niezawodnego środowiska bazodanowego dla systemu informatycznego </w:t>
      </w:r>
      <w:r w:rsidR="00473E6C">
        <w:rPr>
          <w:sz w:val="20"/>
        </w:rPr>
        <w:t xml:space="preserve">ZSI </w:t>
      </w:r>
      <w:r w:rsidR="00F62BE7">
        <w:rPr>
          <w:sz w:val="20"/>
        </w:rPr>
        <w:t xml:space="preserve">UNISOFT </w:t>
      </w:r>
      <w:r w:rsidR="003B7E85">
        <w:rPr>
          <w:sz w:val="20"/>
        </w:rPr>
        <w:t>wykorzystywanego przez Wydział Finansowo Księgowy.</w:t>
      </w:r>
    </w:p>
    <w:p w14:paraId="279A1452" w14:textId="60C814FD" w:rsidR="003B7E85" w:rsidRPr="00AB7A30" w:rsidRDefault="003B7E85" w:rsidP="00E54839">
      <w:pPr>
        <w:jc w:val="both"/>
        <w:rPr>
          <w:sz w:val="20"/>
        </w:rPr>
      </w:pPr>
      <w:r>
        <w:rPr>
          <w:sz w:val="20"/>
        </w:rPr>
        <w:t xml:space="preserve">Zamawiający posiada niezbędne licencje dostępowe na wykorzystywanie oprogramowania UNISOFT </w:t>
      </w:r>
      <w:r w:rsidR="00D16411">
        <w:rPr>
          <w:sz w:val="20"/>
        </w:rPr>
        <w:t>eksploatowane</w:t>
      </w:r>
      <w:r w:rsidR="00601C66">
        <w:rPr>
          <w:sz w:val="20"/>
        </w:rPr>
        <w:t>go</w:t>
      </w:r>
      <w:r w:rsidR="00D16411">
        <w:rPr>
          <w:sz w:val="20"/>
        </w:rPr>
        <w:t xml:space="preserve"> </w:t>
      </w:r>
      <w:r>
        <w:rPr>
          <w:sz w:val="20"/>
        </w:rPr>
        <w:t xml:space="preserve">w obecnej infrastrukturze informatycznej. Dostarczane licencje na oprogramowanie środowiska bazodanowego zostaną wykorzystane do instalacji na </w:t>
      </w:r>
      <w:r w:rsidR="00F77ACD">
        <w:rPr>
          <w:sz w:val="20"/>
        </w:rPr>
        <w:t xml:space="preserve">nowej </w:t>
      </w:r>
      <w:r>
        <w:rPr>
          <w:sz w:val="20"/>
        </w:rPr>
        <w:t>infrastrukturze sprzętowej</w:t>
      </w:r>
      <w:r w:rsidR="00F77ACD">
        <w:rPr>
          <w:sz w:val="20"/>
        </w:rPr>
        <w:t xml:space="preserve">. </w:t>
      </w:r>
      <w:r>
        <w:rPr>
          <w:sz w:val="20"/>
        </w:rPr>
        <w:t>Usługi instalacji oprogramowania i migracji baz danych nie są w zakresie niniejszego Zamówienia.</w:t>
      </w:r>
    </w:p>
    <w:p w14:paraId="1F4632D0" w14:textId="24AEE06F" w:rsidR="0032390E" w:rsidRDefault="0056683A" w:rsidP="00FE62D1">
      <w:pPr>
        <w:pStyle w:val="Akapitzlist"/>
        <w:numPr>
          <w:ilvl w:val="0"/>
          <w:numId w:val="1"/>
        </w:numPr>
        <w:spacing w:before="240"/>
        <w:rPr>
          <w:b/>
          <w:sz w:val="20"/>
        </w:rPr>
      </w:pPr>
      <w:r w:rsidRPr="003B7E85">
        <w:rPr>
          <w:b/>
          <w:sz w:val="20"/>
        </w:rPr>
        <w:t xml:space="preserve">OPROGRAMOWANIE </w:t>
      </w:r>
      <w:r w:rsidR="003B7E85" w:rsidRPr="003B7E85">
        <w:rPr>
          <w:b/>
          <w:sz w:val="20"/>
        </w:rPr>
        <w:t>ŚRODOWISKA BAZODANOWEGO</w:t>
      </w:r>
    </w:p>
    <w:p w14:paraId="6C7DF186" w14:textId="3EE4139C" w:rsidR="00A25FD7" w:rsidRPr="00A25FD7" w:rsidRDefault="00A25FD7" w:rsidP="00FE62D1">
      <w:pPr>
        <w:pStyle w:val="Akapitzlist"/>
        <w:numPr>
          <w:ilvl w:val="1"/>
          <w:numId w:val="1"/>
        </w:numPr>
        <w:spacing w:before="240"/>
        <w:ind w:left="1418" w:hanging="567"/>
        <w:jc w:val="both"/>
        <w:rPr>
          <w:sz w:val="20"/>
        </w:rPr>
      </w:pPr>
      <w:r w:rsidRPr="00A25FD7">
        <w:rPr>
          <w:sz w:val="20"/>
        </w:rPr>
        <w:t>Przedmiotem zamówienia jest dostawa licencji systemu bazodanowego Oracle Database w wersji Standard Edition 2 (SE2) licencjonowanego „na procesor” (kod produktu L103399)</w:t>
      </w:r>
      <w:r w:rsidR="008311F0">
        <w:rPr>
          <w:sz w:val="20"/>
        </w:rPr>
        <w:t>,</w:t>
      </w:r>
    </w:p>
    <w:p w14:paraId="7070873A" w14:textId="0D6F9046" w:rsidR="00556FD3" w:rsidRPr="00556FD3" w:rsidRDefault="00A25FD7" w:rsidP="00FE62D1">
      <w:pPr>
        <w:pStyle w:val="Akapitzlist"/>
        <w:numPr>
          <w:ilvl w:val="1"/>
          <w:numId w:val="1"/>
        </w:numPr>
        <w:spacing w:before="240"/>
        <w:ind w:left="1418" w:hanging="567"/>
        <w:jc w:val="both"/>
        <w:rPr>
          <w:sz w:val="20"/>
        </w:rPr>
      </w:pPr>
      <w:r w:rsidRPr="00A25FD7">
        <w:rPr>
          <w:sz w:val="20"/>
        </w:rPr>
        <w:t xml:space="preserve">Dostarczana licencja musi umożliwić pracę serwera z wykorzystaniem dwóch (2) procesorów fizycznych oraz </w:t>
      </w:r>
      <w:r>
        <w:rPr>
          <w:sz w:val="20"/>
        </w:rPr>
        <w:t>szesna</w:t>
      </w:r>
      <w:r w:rsidR="00F77ACD">
        <w:rPr>
          <w:sz w:val="20"/>
        </w:rPr>
        <w:t>stu</w:t>
      </w:r>
      <w:r>
        <w:rPr>
          <w:sz w:val="20"/>
        </w:rPr>
        <w:t xml:space="preserve"> (16)</w:t>
      </w:r>
      <w:r w:rsidRPr="00A25FD7">
        <w:rPr>
          <w:sz w:val="20"/>
        </w:rPr>
        <w:t xml:space="preserve"> </w:t>
      </w:r>
      <w:r w:rsidR="004A163E">
        <w:rPr>
          <w:sz w:val="20"/>
        </w:rPr>
        <w:t>rdzeni</w:t>
      </w:r>
      <w:r w:rsidR="008311F0">
        <w:rPr>
          <w:sz w:val="20"/>
        </w:rPr>
        <w:t>,</w:t>
      </w:r>
    </w:p>
    <w:p w14:paraId="1F588FCB" w14:textId="2FC6CF1D" w:rsidR="00A25FD7" w:rsidRPr="00A25FD7" w:rsidRDefault="00A25FD7" w:rsidP="00FE62D1">
      <w:pPr>
        <w:pStyle w:val="Akapitzlist"/>
        <w:numPr>
          <w:ilvl w:val="1"/>
          <w:numId w:val="1"/>
        </w:numPr>
        <w:spacing w:before="240"/>
        <w:ind w:left="1418" w:hanging="567"/>
        <w:jc w:val="both"/>
        <w:rPr>
          <w:sz w:val="20"/>
        </w:rPr>
      </w:pPr>
      <w:r w:rsidRPr="00A25FD7">
        <w:rPr>
          <w:sz w:val="20"/>
        </w:rPr>
        <w:t xml:space="preserve">Dostarczana licencja musi umożliwiać pracę w środowisku opartym na systemie </w:t>
      </w:r>
      <w:r>
        <w:rPr>
          <w:sz w:val="20"/>
        </w:rPr>
        <w:t xml:space="preserve">operacyjnym </w:t>
      </w:r>
      <w:r w:rsidRPr="00A25FD7">
        <w:rPr>
          <w:sz w:val="20"/>
        </w:rPr>
        <w:t>Microsoft Windows 2019</w:t>
      </w:r>
      <w:r w:rsidR="008311F0">
        <w:rPr>
          <w:sz w:val="20"/>
        </w:rPr>
        <w:t>,</w:t>
      </w:r>
    </w:p>
    <w:p w14:paraId="6687F18F" w14:textId="183F56C3" w:rsidR="00A25FD7" w:rsidRDefault="00556FD3" w:rsidP="00FE62D1">
      <w:pPr>
        <w:pStyle w:val="Akapitzlist"/>
        <w:numPr>
          <w:ilvl w:val="1"/>
          <w:numId w:val="1"/>
        </w:numPr>
        <w:spacing w:before="240"/>
        <w:ind w:left="1418" w:hanging="567"/>
        <w:jc w:val="both"/>
        <w:rPr>
          <w:bCs/>
          <w:sz w:val="20"/>
        </w:rPr>
      </w:pPr>
      <w:r w:rsidRPr="00556FD3">
        <w:rPr>
          <w:bCs/>
          <w:sz w:val="20"/>
        </w:rPr>
        <w:t>Oprogramowanie</w:t>
      </w:r>
      <w:r w:rsidR="004A163E">
        <w:rPr>
          <w:bCs/>
          <w:sz w:val="20"/>
        </w:rPr>
        <w:t>,</w:t>
      </w:r>
      <w:r w:rsidRPr="00556FD3">
        <w:rPr>
          <w:bCs/>
          <w:sz w:val="20"/>
        </w:rPr>
        <w:t xml:space="preserve"> dla które</w:t>
      </w:r>
      <w:r w:rsidR="004A163E">
        <w:rPr>
          <w:bCs/>
          <w:sz w:val="20"/>
        </w:rPr>
        <w:t>go</w:t>
      </w:r>
      <w:r w:rsidRPr="00556FD3">
        <w:rPr>
          <w:bCs/>
          <w:sz w:val="20"/>
        </w:rPr>
        <w:t xml:space="preserve"> dostarczana jest licencja</w:t>
      </w:r>
      <w:r w:rsidR="004A163E">
        <w:rPr>
          <w:bCs/>
          <w:sz w:val="20"/>
        </w:rPr>
        <w:t>,</w:t>
      </w:r>
      <w:r w:rsidRPr="00556FD3">
        <w:rPr>
          <w:bCs/>
          <w:sz w:val="20"/>
        </w:rPr>
        <w:t xml:space="preserve"> </w:t>
      </w:r>
      <w:r w:rsidR="004A163E">
        <w:rPr>
          <w:bCs/>
          <w:sz w:val="20"/>
        </w:rPr>
        <w:t>musi</w:t>
      </w:r>
      <w:r w:rsidR="004A163E" w:rsidRPr="00556FD3">
        <w:rPr>
          <w:bCs/>
          <w:sz w:val="20"/>
        </w:rPr>
        <w:t xml:space="preserve"> </w:t>
      </w:r>
      <w:r w:rsidRPr="00556FD3">
        <w:rPr>
          <w:bCs/>
          <w:sz w:val="20"/>
        </w:rPr>
        <w:t>pracować na procesorach o architekturze x86-64 (AMD64, x64)</w:t>
      </w:r>
      <w:r w:rsidR="008311F0">
        <w:rPr>
          <w:bCs/>
          <w:sz w:val="20"/>
        </w:rPr>
        <w:t>,</w:t>
      </w:r>
    </w:p>
    <w:p w14:paraId="62148E73" w14:textId="2B0B4DFC" w:rsidR="00556FD3" w:rsidRDefault="008311F0" w:rsidP="00FE62D1">
      <w:pPr>
        <w:pStyle w:val="Akapitzlist"/>
        <w:numPr>
          <w:ilvl w:val="1"/>
          <w:numId w:val="1"/>
        </w:numPr>
        <w:spacing w:before="240"/>
        <w:ind w:left="1418" w:hanging="567"/>
        <w:jc w:val="both"/>
        <w:rPr>
          <w:bCs/>
          <w:sz w:val="20"/>
        </w:rPr>
      </w:pPr>
      <w:r>
        <w:rPr>
          <w:bCs/>
          <w:sz w:val="20"/>
        </w:rPr>
        <w:t xml:space="preserve">Dostarczane licencje nie mogą ograniczać liczby użytkowników końcowych korzystających z oprogramowania ani liczby przetwarzanych lub przechowywanych dokumentów, plików, rekordów, żądań, etc. </w:t>
      </w:r>
    </w:p>
    <w:p w14:paraId="06FF28B4" w14:textId="344BE541" w:rsidR="008311F0" w:rsidRDefault="008311F0" w:rsidP="00FE62D1">
      <w:pPr>
        <w:pStyle w:val="Akapitzlist"/>
        <w:numPr>
          <w:ilvl w:val="1"/>
          <w:numId w:val="1"/>
        </w:numPr>
        <w:spacing w:before="240"/>
        <w:ind w:left="1418" w:hanging="567"/>
        <w:jc w:val="both"/>
        <w:rPr>
          <w:bCs/>
          <w:sz w:val="20"/>
        </w:rPr>
      </w:pPr>
      <w:r>
        <w:rPr>
          <w:bCs/>
          <w:sz w:val="20"/>
        </w:rPr>
        <w:t>Dostarczane licencje nie mogą być organiczne czasowo,</w:t>
      </w:r>
    </w:p>
    <w:p w14:paraId="5EA6C262" w14:textId="50F04477" w:rsidR="008311F0" w:rsidRDefault="00332576" w:rsidP="00FE62D1">
      <w:pPr>
        <w:pStyle w:val="Akapitzlist"/>
        <w:numPr>
          <w:ilvl w:val="1"/>
          <w:numId w:val="1"/>
        </w:numPr>
        <w:spacing w:before="240"/>
        <w:ind w:left="1418" w:hanging="567"/>
        <w:jc w:val="both"/>
        <w:rPr>
          <w:bCs/>
          <w:sz w:val="20"/>
        </w:rPr>
      </w:pPr>
      <w:r>
        <w:rPr>
          <w:bCs/>
          <w:sz w:val="20"/>
        </w:rPr>
        <w:t>Oprogramowanie klienckie służące do połączeń do bazy danych musi być dostępne dla wielu platform systemowych,</w:t>
      </w:r>
    </w:p>
    <w:p w14:paraId="7E942C6C" w14:textId="2C7F69F7" w:rsidR="00332576" w:rsidRDefault="00332576" w:rsidP="00FE62D1">
      <w:pPr>
        <w:pStyle w:val="Akapitzlist"/>
        <w:numPr>
          <w:ilvl w:val="1"/>
          <w:numId w:val="1"/>
        </w:numPr>
        <w:spacing w:before="240"/>
        <w:ind w:left="1418" w:hanging="567"/>
        <w:jc w:val="both"/>
        <w:rPr>
          <w:bCs/>
          <w:sz w:val="20"/>
        </w:rPr>
      </w:pPr>
      <w:r>
        <w:rPr>
          <w:bCs/>
          <w:sz w:val="20"/>
        </w:rPr>
        <w:t xml:space="preserve">Oprogramowanie </w:t>
      </w:r>
      <w:r w:rsidR="004A163E">
        <w:rPr>
          <w:bCs/>
          <w:sz w:val="20"/>
        </w:rPr>
        <w:t>musi być zgodne</w:t>
      </w:r>
      <w:r>
        <w:rPr>
          <w:bCs/>
          <w:sz w:val="20"/>
        </w:rPr>
        <w:t xml:space="preserve"> ze standardem ANSI/ISO SQL 2003 lub nowszym</w:t>
      </w:r>
      <w:r w:rsidR="004A163E">
        <w:rPr>
          <w:bCs/>
          <w:sz w:val="20"/>
        </w:rPr>
        <w:t>,</w:t>
      </w:r>
    </w:p>
    <w:p w14:paraId="3C40D145" w14:textId="2F10EF50" w:rsidR="00332576" w:rsidRDefault="00332576" w:rsidP="00FE62D1">
      <w:pPr>
        <w:pStyle w:val="Akapitzlist"/>
        <w:numPr>
          <w:ilvl w:val="1"/>
          <w:numId w:val="1"/>
        </w:numPr>
        <w:spacing w:before="240"/>
        <w:ind w:left="1418" w:hanging="567"/>
        <w:jc w:val="both"/>
        <w:rPr>
          <w:bCs/>
          <w:sz w:val="20"/>
        </w:rPr>
      </w:pPr>
      <w:r>
        <w:rPr>
          <w:bCs/>
          <w:sz w:val="20"/>
        </w:rPr>
        <w:t xml:space="preserve">Oprogramowanie </w:t>
      </w:r>
      <w:r w:rsidR="004A163E">
        <w:rPr>
          <w:bCs/>
          <w:sz w:val="20"/>
        </w:rPr>
        <w:t xml:space="preserve">musi </w:t>
      </w:r>
      <w:r>
        <w:rPr>
          <w:bCs/>
          <w:sz w:val="20"/>
        </w:rPr>
        <w:t>zapewniać wsparcie standardu JDBC 3.0</w:t>
      </w:r>
      <w:r w:rsidR="004A163E">
        <w:rPr>
          <w:bCs/>
          <w:sz w:val="20"/>
        </w:rPr>
        <w:t>,</w:t>
      </w:r>
    </w:p>
    <w:p w14:paraId="54E1AE5C" w14:textId="323DD458" w:rsidR="00332576" w:rsidRDefault="00332576" w:rsidP="00FE62D1">
      <w:pPr>
        <w:pStyle w:val="Akapitzlist"/>
        <w:numPr>
          <w:ilvl w:val="1"/>
          <w:numId w:val="1"/>
        </w:numPr>
        <w:spacing w:before="240"/>
        <w:ind w:left="1418" w:hanging="567"/>
        <w:jc w:val="both"/>
        <w:rPr>
          <w:bCs/>
          <w:sz w:val="20"/>
        </w:rPr>
      </w:pPr>
      <w:r>
        <w:rPr>
          <w:bCs/>
          <w:sz w:val="20"/>
        </w:rPr>
        <w:t xml:space="preserve">Oprogramowanie </w:t>
      </w:r>
      <w:r w:rsidR="004A163E">
        <w:rPr>
          <w:bCs/>
          <w:sz w:val="20"/>
        </w:rPr>
        <w:t xml:space="preserve">musi </w:t>
      </w:r>
      <w:r>
        <w:rPr>
          <w:bCs/>
          <w:sz w:val="20"/>
        </w:rPr>
        <w:t xml:space="preserve">posiadać wsparcie dla ustawień narodowych i zestawów tablic znaków (UNICODE) zarówno po stronie serwera jak i oprogramowania klienckiego. Dostarczane oprogramowanie </w:t>
      </w:r>
      <w:r w:rsidR="004A163E">
        <w:rPr>
          <w:bCs/>
          <w:sz w:val="20"/>
        </w:rPr>
        <w:t xml:space="preserve">musi </w:t>
      </w:r>
      <w:r>
        <w:rPr>
          <w:bCs/>
          <w:sz w:val="20"/>
        </w:rPr>
        <w:t xml:space="preserve">zapewniać wsparcie dla obsługi polskich stron kodowych ISO-8859-2, MS Windows CP 1250 oraz PC 852. Oprogramowanie </w:t>
      </w:r>
      <w:r w:rsidR="004A163E">
        <w:rPr>
          <w:bCs/>
          <w:sz w:val="20"/>
        </w:rPr>
        <w:t xml:space="preserve">musi </w:t>
      </w:r>
      <w:r>
        <w:rPr>
          <w:bCs/>
          <w:sz w:val="20"/>
        </w:rPr>
        <w:t>zapewniać automatyczną konwersję znaków pomiędzy różnymi ustawieniami stron kodowych,</w:t>
      </w:r>
    </w:p>
    <w:p w14:paraId="3EE02C25" w14:textId="403F0302" w:rsidR="00332576" w:rsidRDefault="00332576" w:rsidP="00FE62D1">
      <w:pPr>
        <w:pStyle w:val="Akapitzlist"/>
        <w:numPr>
          <w:ilvl w:val="1"/>
          <w:numId w:val="1"/>
        </w:numPr>
        <w:spacing w:before="240"/>
        <w:ind w:left="1418" w:hanging="567"/>
        <w:jc w:val="both"/>
        <w:rPr>
          <w:bCs/>
          <w:sz w:val="20"/>
        </w:rPr>
      </w:pPr>
      <w:r>
        <w:rPr>
          <w:bCs/>
          <w:sz w:val="20"/>
        </w:rPr>
        <w:t>Oprogramowanie musi posiadać wbudowaną obsługę wyrażeń regularnych zgodną ze standardem POSIX dostępną z poziomu języka SQL jak i procedur i funkcji składowych w bazie danych,</w:t>
      </w:r>
    </w:p>
    <w:p w14:paraId="4C6328E3" w14:textId="7DA0CE12" w:rsidR="00332576" w:rsidRDefault="00332576" w:rsidP="00FE62D1">
      <w:pPr>
        <w:pStyle w:val="Akapitzlist"/>
        <w:numPr>
          <w:ilvl w:val="1"/>
          <w:numId w:val="1"/>
        </w:numPr>
        <w:spacing w:before="240"/>
        <w:ind w:left="1418" w:hanging="567"/>
        <w:jc w:val="both"/>
        <w:rPr>
          <w:bCs/>
          <w:sz w:val="20"/>
        </w:rPr>
      </w:pPr>
      <w:r>
        <w:rPr>
          <w:bCs/>
          <w:sz w:val="20"/>
        </w:rPr>
        <w:t>Oprogramowanie musi posiadać możliwość zagnieżdżania transakcji,</w:t>
      </w:r>
    </w:p>
    <w:p w14:paraId="1D0E8359" w14:textId="0907F011" w:rsidR="00332576" w:rsidRDefault="00332576" w:rsidP="00FE62D1">
      <w:pPr>
        <w:pStyle w:val="Akapitzlist"/>
        <w:numPr>
          <w:ilvl w:val="1"/>
          <w:numId w:val="1"/>
        </w:numPr>
        <w:spacing w:before="240"/>
        <w:ind w:left="1418" w:hanging="567"/>
        <w:jc w:val="both"/>
        <w:rPr>
          <w:bCs/>
          <w:sz w:val="20"/>
        </w:rPr>
      </w:pPr>
      <w:r>
        <w:rPr>
          <w:bCs/>
          <w:sz w:val="20"/>
        </w:rPr>
        <w:t xml:space="preserve">Oprogramowanie </w:t>
      </w:r>
      <w:r w:rsidR="00B27331">
        <w:rPr>
          <w:bCs/>
          <w:sz w:val="20"/>
        </w:rPr>
        <w:t>nie może posiadać</w:t>
      </w:r>
      <w:r>
        <w:rPr>
          <w:bCs/>
          <w:sz w:val="20"/>
        </w:rPr>
        <w:t xml:space="preserve"> ograniczeń na liczbę tabel i indeksów w bazie danych oraz na ich rozmiar,</w:t>
      </w:r>
    </w:p>
    <w:p w14:paraId="0F932A03" w14:textId="175C1F32" w:rsidR="00332576" w:rsidRDefault="00332576" w:rsidP="00FE62D1">
      <w:pPr>
        <w:pStyle w:val="Akapitzlist"/>
        <w:numPr>
          <w:ilvl w:val="1"/>
          <w:numId w:val="1"/>
        </w:numPr>
        <w:spacing w:before="240"/>
        <w:ind w:left="1418" w:hanging="567"/>
        <w:jc w:val="both"/>
        <w:rPr>
          <w:bCs/>
          <w:sz w:val="20"/>
        </w:rPr>
      </w:pPr>
      <w:r>
        <w:rPr>
          <w:bCs/>
          <w:sz w:val="20"/>
        </w:rPr>
        <w:t xml:space="preserve">Oprogramowanie musi posiadać kosztowy model optymalizacji instrukcji </w:t>
      </w:r>
      <w:proofErr w:type="spellStart"/>
      <w:r>
        <w:rPr>
          <w:bCs/>
          <w:sz w:val="20"/>
        </w:rPr>
        <w:t>SQLm</w:t>
      </w:r>
      <w:proofErr w:type="spellEnd"/>
      <w:r w:rsidR="00B27331">
        <w:rPr>
          <w:bCs/>
          <w:sz w:val="20"/>
        </w:rPr>
        <w:t>,</w:t>
      </w:r>
    </w:p>
    <w:p w14:paraId="70011DD0" w14:textId="349800CF" w:rsidR="00332576" w:rsidRPr="00332576" w:rsidRDefault="00332576" w:rsidP="00FE62D1">
      <w:pPr>
        <w:pStyle w:val="Akapitzlist"/>
        <w:numPr>
          <w:ilvl w:val="1"/>
          <w:numId w:val="1"/>
        </w:numPr>
        <w:ind w:left="1418" w:hanging="567"/>
        <w:jc w:val="both"/>
        <w:rPr>
          <w:bCs/>
          <w:sz w:val="20"/>
        </w:rPr>
      </w:pPr>
      <w:r>
        <w:rPr>
          <w:bCs/>
          <w:sz w:val="20"/>
        </w:rPr>
        <w:t xml:space="preserve">Oprogramowanie </w:t>
      </w:r>
      <w:r w:rsidR="00B27331">
        <w:rPr>
          <w:bCs/>
          <w:sz w:val="20"/>
        </w:rPr>
        <w:t xml:space="preserve">musi </w:t>
      </w:r>
      <w:r>
        <w:rPr>
          <w:bCs/>
          <w:sz w:val="20"/>
        </w:rPr>
        <w:t>posiadać m</w:t>
      </w:r>
      <w:r w:rsidRPr="00332576">
        <w:rPr>
          <w:bCs/>
          <w:sz w:val="20"/>
        </w:rPr>
        <w:t>ożliwość deklarowania wyzwalaczy (</w:t>
      </w:r>
      <w:proofErr w:type="spellStart"/>
      <w:r w:rsidRPr="00332576">
        <w:rPr>
          <w:bCs/>
          <w:sz w:val="20"/>
        </w:rPr>
        <w:t>triggerów</w:t>
      </w:r>
      <w:proofErr w:type="spellEnd"/>
      <w:r w:rsidRPr="00332576">
        <w:rPr>
          <w:bCs/>
          <w:sz w:val="20"/>
        </w:rPr>
        <w:t>) na poziomie instrukcji DML (INSERT, UPDATE, DELETE) wykonywanej na tabeli, poziomie każdego wiersza modyfikowanego przez instrukcję DML oraz na poziomie zdarzeń bazy danych (np. próba wykonania instrukcji DML, start serwera, stop serwera, próba zalogowania użytkownika, wystąpienie specyficznego błędu w serwerze</w:t>
      </w:r>
      <w:r w:rsidR="00B27331" w:rsidRPr="00332576">
        <w:rPr>
          <w:bCs/>
          <w:sz w:val="20"/>
        </w:rPr>
        <w:t>)</w:t>
      </w:r>
      <w:r w:rsidR="00B27331">
        <w:rPr>
          <w:bCs/>
          <w:sz w:val="20"/>
        </w:rPr>
        <w:t>,</w:t>
      </w:r>
    </w:p>
    <w:p w14:paraId="12CC9493" w14:textId="4663D825" w:rsidR="00332576" w:rsidRPr="006C5215" w:rsidRDefault="006C5215" w:rsidP="00FE62D1">
      <w:pPr>
        <w:pStyle w:val="Akapitzlist"/>
        <w:numPr>
          <w:ilvl w:val="1"/>
          <w:numId w:val="1"/>
        </w:numPr>
        <w:spacing w:before="240"/>
        <w:ind w:left="1418" w:hanging="567"/>
        <w:jc w:val="both"/>
        <w:rPr>
          <w:bCs/>
          <w:sz w:val="20"/>
        </w:rPr>
      </w:pPr>
      <w:r>
        <w:t xml:space="preserve">Oprogramowanie </w:t>
      </w:r>
      <w:r w:rsidR="00B27331">
        <w:t xml:space="preserve">musi </w:t>
      </w:r>
      <w:r>
        <w:t>posiadać m</w:t>
      </w:r>
      <w:r w:rsidRPr="00A118C2">
        <w:t>ożliwość wykonania równoczesnych operacji DML (Insert/Update/</w:t>
      </w:r>
      <w:proofErr w:type="spellStart"/>
      <w:r w:rsidRPr="00A118C2">
        <w:t>Delete</w:t>
      </w:r>
      <w:proofErr w:type="spellEnd"/>
      <w:r w:rsidRPr="00A118C2">
        <w:t>) na tej samej tabeli</w:t>
      </w:r>
      <w:r w:rsidR="00B27331">
        <w:t>,</w:t>
      </w:r>
    </w:p>
    <w:p w14:paraId="76A25AE4" w14:textId="4F10FFC9" w:rsidR="006C5215" w:rsidRPr="006C5215" w:rsidRDefault="006C5215" w:rsidP="00FE62D1">
      <w:pPr>
        <w:pStyle w:val="Akapitzlist"/>
        <w:numPr>
          <w:ilvl w:val="1"/>
          <w:numId w:val="1"/>
        </w:numPr>
        <w:spacing w:before="240"/>
        <w:ind w:left="1418" w:hanging="567"/>
        <w:jc w:val="both"/>
        <w:rPr>
          <w:bCs/>
          <w:sz w:val="20"/>
        </w:rPr>
      </w:pPr>
      <w:r>
        <w:t xml:space="preserve">Oprogramowanie </w:t>
      </w:r>
      <w:r w:rsidR="00B27331">
        <w:t xml:space="preserve">musi </w:t>
      </w:r>
      <w:r>
        <w:t>posiadać m</w:t>
      </w:r>
      <w:r w:rsidRPr="006C5215">
        <w:t xml:space="preserve">ożliwość wykonywania i katalogowania kopii bezpieczeństwa bezpośrednio przez serwer bazy danych. Możliwość zautomatyzowanego usuwania zbędnych kopii bezpieczeństwa przy zachowaniu odpowiedniej liczby kopii nadmiarowych - stosownie do założonej polityki nadmiarowości </w:t>
      </w:r>
      <w:proofErr w:type="spellStart"/>
      <w:r w:rsidRPr="006C5215">
        <w:t>backup'ów</w:t>
      </w:r>
      <w:proofErr w:type="spellEnd"/>
      <w:r w:rsidRPr="006C5215">
        <w:t xml:space="preserve">. Możliwość integracji z powszechnie stosowanymi systemami backupu (Legato, Veritas, Tivoli, itp.). Wykonywanie kopii bezpieczeństwa </w:t>
      </w:r>
      <w:r w:rsidR="00B27331">
        <w:t>musi</w:t>
      </w:r>
      <w:r w:rsidR="00B27331" w:rsidRPr="006C5215">
        <w:t xml:space="preserve"> </w:t>
      </w:r>
      <w:r w:rsidRPr="006C5215">
        <w:t>być możliwe w trybie offline oraz w trybie online(hot backup)</w:t>
      </w:r>
      <w:r w:rsidR="00B27331">
        <w:t>,</w:t>
      </w:r>
    </w:p>
    <w:p w14:paraId="0B768EEE" w14:textId="5A319437" w:rsidR="006C5215" w:rsidRPr="00566212" w:rsidRDefault="006C5215" w:rsidP="00FE62D1">
      <w:pPr>
        <w:pStyle w:val="Akapitzlist"/>
        <w:numPr>
          <w:ilvl w:val="1"/>
          <w:numId w:val="1"/>
        </w:numPr>
        <w:spacing w:before="240"/>
        <w:ind w:left="1418" w:hanging="567"/>
        <w:jc w:val="both"/>
        <w:rPr>
          <w:bCs/>
          <w:sz w:val="20"/>
        </w:rPr>
      </w:pPr>
      <w:r w:rsidRPr="006C5215">
        <w:rPr>
          <w:bCs/>
          <w:sz w:val="20"/>
        </w:rPr>
        <w:lastRenderedPageBreak/>
        <w:t xml:space="preserve">Odtwarzanie </w:t>
      </w:r>
      <w:r w:rsidR="00B27331">
        <w:rPr>
          <w:bCs/>
          <w:sz w:val="20"/>
        </w:rPr>
        <w:t>musi</w:t>
      </w:r>
      <w:r w:rsidR="00B27331" w:rsidRPr="006C5215">
        <w:rPr>
          <w:bCs/>
          <w:sz w:val="20"/>
        </w:rPr>
        <w:t xml:space="preserve"> </w:t>
      </w:r>
      <w:r w:rsidRPr="006C5215">
        <w:rPr>
          <w:bCs/>
          <w:sz w:val="20"/>
        </w:rPr>
        <w:t>umożliwiać odzyskanie stanu danych z chwili wystąpienia awarii bądź cofnąć stan bazy danych do punktu w czasie. W przypadku odtwarzania do stanu z chwili wystąpienia awarii odtwarzaniu może podlegać cała baza danych bądź pojedyncze pliki danych.</w:t>
      </w:r>
    </w:p>
    <w:p w14:paraId="1B146E1A" w14:textId="77777777" w:rsidR="00A25FD7" w:rsidRPr="00A25FD7" w:rsidRDefault="00A25FD7" w:rsidP="00A25FD7">
      <w:pPr>
        <w:pStyle w:val="Akapitzlist"/>
        <w:spacing w:before="240"/>
        <w:rPr>
          <w:b/>
          <w:sz w:val="20"/>
        </w:rPr>
      </w:pPr>
    </w:p>
    <w:p w14:paraId="2423F690" w14:textId="20373B0E" w:rsidR="003B7E85" w:rsidRDefault="003B7E85" w:rsidP="00FE62D1">
      <w:pPr>
        <w:pStyle w:val="Akapitzlist"/>
        <w:numPr>
          <w:ilvl w:val="0"/>
          <w:numId w:val="1"/>
        </w:numPr>
        <w:spacing w:before="240"/>
        <w:rPr>
          <w:b/>
          <w:sz w:val="20"/>
        </w:rPr>
      </w:pPr>
      <w:r>
        <w:rPr>
          <w:b/>
          <w:sz w:val="20"/>
        </w:rPr>
        <w:t>ŚWIADCZENIE USŁUGI ASYSTY TECHNICZNEJ</w:t>
      </w:r>
    </w:p>
    <w:p w14:paraId="01E14528" w14:textId="3B4DBE83" w:rsidR="00566212" w:rsidRPr="00C01D0D" w:rsidRDefault="00566212" w:rsidP="00FE62D1">
      <w:pPr>
        <w:pStyle w:val="Akapitzlist"/>
        <w:numPr>
          <w:ilvl w:val="1"/>
          <w:numId w:val="1"/>
        </w:numPr>
        <w:spacing w:before="240"/>
        <w:ind w:left="1418" w:hanging="567"/>
        <w:jc w:val="both"/>
        <w:rPr>
          <w:bCs/>
          <w:sz w:val="20"/>
        </w:rPr>
      </w:pPr>
      <w:r w:rsidRPr="00C01D0D">
        <w:rPr>
          <w:bCs/>
          <w:sz w:val="20"/>
        </w:rPr>
        <w:t xml:space="preserve">Wyżej wymienione licencje oprogramowania zostają zakupione z usługą </w:t>
      </w:r>
      <w:r w:rsidR="00416F71" w:rsidRPr="00C01D0D">
        <w:rPr>
          <w:bCs/>
          <w:sz w:val="20"/>
        </w:rPr>
        <w:t>asysty</w:t>
      </w:r>
      <w:r w:rsidRPr="00C01D0D">
        <w:rPr>
          <w:bCs/>
          <w:sz w:val="20"/>
        </w:rPr>
        <w:t xml:space="preserve"> technicznej i konserwacji producenta oprogramowania</w:t>
      </w:r>
      <w:r w:rsidR="00416F71" w:rsidRPr="00C01D0D">
        <w:rPr>
          <w:bCs/>
          <w:sz w:val="20"/>
        </w:rPr>
        <w:t>,</w:t>
      </w:r>
    </w:p>
    <w:p w14:paraId="04CF7810" w14:textId="0BFE7AB1" w:rsidR="00566212" w:rsidRPr="00C01D0D" w:rsidRDefault="00566212" w:rsidP="00FE62D1">
      <w:pPr>
        <w:pStyle w:val="Akapitzlist"/>
        <w:numPr>
          <w:ilvl w:val="1"/>
          <w:numId w:val="1"/>
        </w:numPr>
        <w:spacing w:before="240"/>
        <w:ind w:left="1418" w:hanging="567"/>
        <w:jc w:val="both"/>
        <w:rPr>
          <w:bCs/>
          <w:sz w:val="20"/>
        </w:rPr>
      </w:pPr>
      <w:r w:rsidRPr="00C01D0D">
        <w:rPr>
          <w:bCs/>
          <w:sz w:val="20"/>
        </w:rPr>
        <w:t xml:space="preserve">Świadczenie asysty technicznej </w:t>
      </w:r>
      <w:r w:rsidR="000C7950">
        <w:rPr>
          <w:bCs/>
          <w:sz w:val="20"/>
        </w:rPr>
        <w:t xml:space="preserve">musi </w:t>
      </w:r>
      <w:r w:rsidRPr="00C01D0D">
        <w:rPr>
          <w:bCs/>
          <w:sz w:val="20"/>
        </w:rPr>
        <w:t xml:space="preserve">zostać </w:t>
      </w:r>
      <w:r w:rsidR="00416F71" w:rsidRPr="00C01D0D">
        <w:rPr>
          <w:bCs/>
          <w:sz w:val="20"/>
        </w:rPr>
        <w:t>udzielone</w:t>
      </w:r>
      <w:r w:rsidRPr="00C01D0D">
        <w:rPr>
          <w:bCs/>
          <w:sz w:val="20"/>
        </w:rPr>
        <w:t xml:space="preserve"> </w:t>
      </w:r>
      <w:r w:rsidR="00416F71" w:rsidRPr="00C01D0D">
        <w:rPr>
          <w:bCs/>
          <w:sz w:val="20"/>
        </w:rPr>
        <w:t>na okres 12 miesięcy  począwszy od dnia podpisania protokołu odbioru,</w:t>
      </w:r>
    </w:p>
    <w:p w14:paraId="7603FBD1" w14:textId="63E12502" w:rsidR="00416F71" w:rsidRPr="00C01D0D" w:rsidRDefault="00416F71" w:rsidP="00FE62D1">
      <w:pPr>
        <w:pStyle w:val="Akapitzlist"/>
        <w:numPr>
          <w:ilvl w:val="1"/>
          <w:numId w:val="1"/>
        </w:numPr>
        <w:spacing w:before="240"/>
        <w:ind w:left="1418" w:hanging="567"/>
        <w:jc w:val="both"/>
        <w:rPr>
          <w:bCs/>
          <w:sz w:val="20"/>
        </w:rPr>
      </w:pPr>
      <w:r w:rsidRPr="00C01D0D">
        <w:rPr>
          <w:bCs/>
          <w:sz w:val="20"/>
        </w:rPr>
        <w:t>Wykonawca w ramach realizacji asysty technicznej zapewni:</w:t>
      </w:r>
    </w:p>
    <w:p w14:paraId="4F55B623" w14:textId="7158053E" w:rsidR="00416F71" w:rsidRPr="00C01D0D" w:rsidRDefault="00416F71" w:rsidP="00FE62D1">
      <w:pPr>
        <w:pStyle w:val="Akapitzlist"/>
        <w:numPr>
          <w:ilvl w:val="0"/>
          <w:numId w:val="2"/>
        </w:numPr>
        <w:spacing w:before="240"/>
        <w:ind w:left="1843"/>
        <w:jc w:val="both"/>
        <w:rPr>
          <w:bCs/>
          <w:sz w:val="20"/>
        </w:rPr>
      </w:pPr>
      <w:r w:rsidRPr="00C01D0D">
        <w:rPr>
          <w:bCs/>
          <w:sz w:val="20"/>
        </w:rPr>
        <w:t>Dostęp do całodobowych internetowych serwisów asysty technicznej działających w trybie 24/7 z możliwością rejestrowania zgłoszeń serwisowych przez Internet,</w:t>
      </w:r>
    </w:p>
    <w:p w14:paraId="58CE21A5" w14:textId="1C3800A8" w:rsidR="00416F71" w:rsidRPr="00C01D0D" w:rsidRDefault="00416F71" w:rsidP="00FE62D1">
      <w:pPr>
        <w:pStyle w:val="Akapitzlist"/>
        <w:numPr>
          <w:ilvl w:val="0"/>
          <w:numId w:val="2"/>
        </w:numPr>
        <w:spacing w:before="240"/>
        <w:ind w:left="1843"/>
        <w:jc w:val="both"/>
        <w:rPr>
          <w:bCs/>
          <w:sz w:val="20"/>
        </w:rPr>
      </w:pPr>
      <w:r w:rsidRPr="00C01D0D">
        <w:rPr>
          <w:bCs/>
          <w:sz w:val="20"/>
        </w:rPr>
        <w:t>Dostęp do poprawek, aktualizacji</w:t>
      </w:r>
      <w:r w:rsidR="00B6252B">
        <w:rPr>
          <w:bCs/>
          <w:sz w:val="20"/>
        </w:rPr>
        <w:t>, wersji wyższych (</w:t>
      </w:r>
      <w:proofErr w:type="spellStart"/>
      <w:r w:rsidR="00B6252B">
        <w:rPr>
          <w:bCs/>
          <w:sz w:val="20"/>
        </w:rPr>
        <w:t>upgrade</w:t>
      </w:r>
      <w:proofErr w:type="spellEnd"/>
      <w:r w:rsidR="00B6252B">
        <w:rPr>
          <w:bCs/>
          <w:sz w:val="20"/>
        </w:rPr>
        <w:t>), wersji niższych (</w:t>
      </w:r>
      <w:proofErr w:type="spellStart"/>
      <w:r w:rsidR="00B6252B">
        <w:rPr>
          <w:bCs/>
          <w:sz w:val="20"/>
        </w:rPr>
        <w:t>downgrade</w:t>
      </w:r>
      <w:proofErr w:type="spellEnd"/>
      <w:r w:rsidR="00B6252B">
        <w:rPr>
          <w:bCs/>
          <w:sz w:val="20"/>
        </w:rPr>
        <w:t>)</w:t>
      </w:r>
      <w:r w:rsidRPr="00C01D0D">
        <w:rPr>
          <w:bCs/>
          <w:sz w:val="20"/>
        </w:rPr>
        <w:t xml:space="preserve"> oraz ostrzeżeń o zagrożeniach bezpieczeństwa o znaczeniu krytycznym,</w:t>
      </w:r>
    </w:p>
    <w:p w14:paraId="610CA421" w14:textId="77777777" w:rsidR="00B6252B" w:rsidRDefault="00416F71" w:rsidP="00B27331">
      <w:pPr>
        <w:pStyle w:val="Akapitzlist"/>
        <w:numPr>
          <w:ilvl w:val="0"/>
          <w:numId w:val="2"/>
        </w:numPr>
        <w:spacing w:before="240"/>
        <w:ind w:left="1843"/>
        <w:jc w:val="both"/>
        <w:rPr>
          <w:bCs/>
          <w:sz w:val="20"/>
        </w:rPr>
      </w:pPr>
      <w:r w:rsidRPr="00C01D0D">
        <w:rPr>
          <w:bCs/>
          <w:sz w:val="20"/>
        </w:rPr>
        <w:t>Dostęp do informacji na temat posiadanych produktów, biuletynów technicznych, poprawek programistycznych oraz bazy danych zgłoszonych problemów</w:t>
      </w:r>
      <w:r w:rsidR="00B6252B">
        <w:rPr>
          <w:bCs/>
          <w:sz w:val="20"/>
        </w:rPr>
        <w:t>,</w:t>
      </w:r>
    </w:p>
    <w:p w14:paraId="39F8391F" w14:textId="77777777" w:rsidR="00B6252B" w:rsidRDefault="00B6252B" w:rsidP="00B27331">
      <w:pPr>
        <w:pStyle w:val="Akapitzlist"/>
        <w:numPr>
          <w:ilvl w:val="0"/>
          <w:numId w:val="2"/>
        </w:numPr>
        <w:spacing w:before="240"/>
        <w:ind w:left="1843"/>
        <w:jc w:val="both"/>
        <w:rPr>
          <w:bCs/>
          <w:sz w:val="20"/>
        </w:rPr>
      </w:pPr>
      <w:r>
        <w:rPr>
          <w:bCs/>
          <w:sz w:val="20"/>
        </w:rPr>
        <w:t>Dostęp za pośrednictwem serwisu www do aktualnej dokumentacji technicznej publikowanej i udostępnianej przez producenta oprogramowania,</w:t>
      </w:r>
    </w:p>
    <w:p w14:paraId="543B946C" w14:textId="3CB580B0" w:rsidR="00B27331" w:rsidRDefault="00B6252B" w:rsidP="00B27331">
      <w:pPr>
        <w:pStyle w:val="Akapitzlist"/>
        <w:numPr>
          <w:ilvl w:val="0"/>
          <w:numId w:val="2"/>
        </w:numPr>
        <w:spacing w:before="240"/>
        <w:ind w:left="1843"/>
        <w:jc w:val="both"/>
        <w:rPr>
          <w:bCs/>
          <w:sz w:val="20"/>
        </w:rPr>
      </w:pPr>
      <w:r>
        <w:rPr>
          <w:bCs/>
          <w:sz w:val="20"/>
        </w:rPr>
        <w:t xml:space="preserve">Dostęp za pośrednictwem serwisu www do obrazów (plików) do pobrania, zawierających poprawki / aktualizacje / nowe wersje oprogramowania, niezwłocznie po ich udostępnieniu przez producenta oprogramowania </w:t>
      </w:r>
    </w:p>
    <w:p w14:paraId="18309F6A" w14:textId="77777777" w:rsidR="000C7950" w:rsidRPr="005C2FB7" w:rsidRDefault="000C7950" w:rsidP="00C60403">
      <w:pPr>
        <w:pStyle w:val="Akapitzlist"/>
        <w:spacing w:before="240"/>
        <w:ind w:left="1843"/>
        <w:jc w:val="both"/>
        <w:rPr>
          <w:bCs/>
          <w:sz w:val="20"/>
        </w:rPr>
      </w:pPr>
    </w:p>
    <w:p w14:paraId="626C0560" w14:textId="6896697A" w:rsidR="00C01D0D" w:rsidRPr="00C01D0D" w:rsidRDefault="00C01D0D" w:rsidP="00FE62D1">
      <w:pPr>
        <w:pStyle w:val="Akapitzlist"/>
        <w:numPr>
          <w:ilvl w:val="0"/>
          <w:numId w:val="1"/>
        </w:numPr>
        <w:spacing w:before="240"/>
        <w:jc w:val="both"/>
        <w:rPr>
          <w:bCs/>
          <w:sz w:val="20"/>
        </w:rPr>
      </w:pPr>
      <w:r w:rsidRPr="00C01D0D">
        <w:rPr>
          <w:b/>
          <w:sz w:val="20"/>
        </w:rPr>
        <w:t xml:space="preserve">WARUNKI RÓWNOWAŻNOŚCI </w:t>
      </w:r>
    </w:p>
    <w:p w14:paraId="26B7E9E8" w14:textId="15F622AC" w:rsidR="00825C34" w:rsidRDefault="00825C34" w:rsidP="00FE62D1">
      <w:pPr>
        <w:pStyle w:val="Akapitzlist"/>
        <w:numPr>
          <w:ilvl w:val="1"/>
          <w:numId w:val="1"/>
        </w:numPr>
        <w:spacing w:before="240"/>
        <w:ind w:left="1560" w:hanging="709"/>
        <w:jc w:val="both"/>
        <w:rPr>
          <w:bCs/>
          <w:sz w:val="20"/>
        </w:rPr>
      </w:pPr>
      <w:r>
        <w:rPr>
          <w:bCs/>
          <w:sz w:val="20"/>
        </w:rPr>
        <w:t>Przez zamówienie równoważne do opisanego przedmiotu zamówienia Zamawiający uzna takie, które realizuje co najmniej wszystkie funkcjonalności i posiada wszystkie cechy poza funkcjonalne jak oprogramowanie wskazane przez Zamawiającego, możliwe do eksploatacji bez wprowadzania żadnych modyfikacji w infrastrukturze techniczno-systemowej posiadanej przez Zamawiającego oraz będzie zapewniać poprawną pracę systemu Finansowo Księgowego firmy UNISOFT Sp. z o.o.</w:t>
      </w:r>
    </w:p>
    <w:p w14:paraId="7822B16B" w14:textId="63D082CD" w:rsidR="00FE62D1" w:rsidRPr="00FE62D1" w:rsidRDefault="00DE7AAA" w:rsidP="00FE62D1">
      <w:pPr>
        <w:pStyle w:val="Akapitzlist"/>
        <w:numPr>
          <w:ilvl w:val="1"/>
          <w:numId w:val="1"/>
        </w:numPr>
        <w:spacing w:before="240"/>
        <w:ind w:left="1560" w:hanging="709"/>
        <w:jc w:val="both"/>
        <w:rPr>
          <w:bCs/>
          <w:sz w:val="20"/>
        </w:rPr>
      </w:pPr>
      <w:r w:rsidRPr="00DE7AAA">
        <w:rPr>
          <w:bCs/>
          <w:sz w:val="20"/>
        </w:rPr>
        <w:t>W przypadku zaoferowania przez Wykonawcę rozwiązania równoważnego, Wykonawca:</w:t>
      </w:r>
    </w:p>
    <w:p w14:paraId="2F1EFF1A" w14:textId="77777777" w:rsidR="00FE62D1" w:rsidRDefault="00DE7AAA" w:rsidP="00FE62D1">
      <w:pPr>
        <w:pStyle w:val="Akapitzlist"/>
        <w:numPr>
          <w:ilvl w:val="0"/>
          <w:numId w:val="3"/>
        </w:numPr>
        <w:spacing w:before="240"/>
        <w:ind w:left="2127" w:hanging="567"/>
        <w:jc w:val="both"/>
        <w:rPr>
          <w:bCs/>
          <w:sz w:val="20"/>
        </w:rPr>
      </w:pPr>
      <w:r w:rsidRPr="00DE7AAA">
        <w:rPr>
          <w:bCs/>
          <w:sz w:val="20"/>
        </w:rPr>
        <w:t>wraz z ofertą wykaże, że oferowane rozwiązanie równoważne spełnia wymagania określone przez Zamawiającego, w szczególności przedstawiając Zamawiającemu stosowną dokumentację oprogramowania, potwierdzającą spełnienie przez oferowane oprogramowanie wymagań funkcjonalnych i poza funkcjonalnych tożsamych jak w oprogramowaniu wskazanym przez Zamawiającego, postanowienia licencji rozwiązania równoważnego jak postanowienia właściwe dla oprogramowania wskazanego przez Zamawiającego oraz warunki świadczonej przez producenta asysty technicznej i konserwacji.</w:t>
      </w:r>
    </w:p>
    <w:p w14:paraId="3D0EE63F" w14:textId="50D53237" w:rsidR="00FE62D1" w:rsidRDefault="00DE7AAA" w:rsidP="00FE62D1">
      <w:pPr>
        <w:pStyle w:val="Akapitzlist"/>
        <w:numPr>
          <w:ilvl w:val="0"/>
          <w:numId w:val="3"/>
        </w:numPr>
        <w:spacing w:before="240"/>
        <w:ind w:left="2127" w:hanging="567"/>
        <w:jc w:val="both"/>
        <w:rPr>
          <w:bCs/>
          <w:sz w:val="20"/>
        </w:rPr>
      </w:pPr>
      <w:r w:rsidRPr="00FE62D1">
        <w:rPr>
          <w:bCs/>
          <w:sz w:val="20"/>
        </w:rPr>
        <w:t>wraz z ofertą przedstawi szczegółowy projekt techniczny rozwiązania równoważnego wraz z instrukcją instalacji, konfiguracji i eksploatacji dotyczącą zaoferowanego rozwiązania</w:t>
      </w:r>
      <w:r w:rsidR="00CB1601">
        <w:rPr>
          <w:bCs/>
          <w:sz w:val="20"/>
        </w:rPr>
        <w:t>.</w:t>
      </w:r>
    </w:p>
    <w:p w14:paraId="7756D10E" w14:textId="77777777" w:rsidR="00FE62D1" w:rsidRDefault="00DE7AAA" w:rsidP="00FE62D1">
      <w:pPr>
        <w:pStyle w:val="Akapitzlist"/>
        <w:numPr>
          <w:ilvl w:val="0"/>
          <w:numId w:val="3"/>
        </w:numPr>
        <w:spacing w:before="240"/>
        <w:ind w:left="2127" w:hanging="567"/>
        <w:jc w:val="both"/>
        <w:rPr>
          <w:bCs/>
          <w:sz w:val="20"/>
        </w:rPr>
      </w:pPr>
      <w:r w:rsidRPr="00FE62D1">
        <w:rPr>
          <w:bCs/>
          <w:sz w:val="20"/>
        </w:rPr>
        <w:t>na etapie oceny ofert Zamawiający zastrzega sobie prawo do weryfikacji proponowanego rozwiązania oferowanego przez Wykonawcę. W tym celu na wezwanie Zamawiającego, Wykonawca, na własny koszt, zbuduje laboratorium, w którym zainstaluje i skonfiguruje rozwiązanie równoważne i przeprowadzi testy funkcjonalne i niefunkcjonalne w infrastrukturze techniczno-systemowej jak użytkowane przez Zamawiającego. Wynikiem testów będzie raport, w którym Wykonawca przedstawi 100% pokrycie funkcjonalne i niefunkcjonalne rozwiązania równoważnego w stosunku do rozwiązania obecnie użytkowanego przez Zamawiającego.</w:t>
      </w:r>
    </w:p>
    <w:p w14:paraId="445DAA43" w14:textId="4B9D9480" w:rsidR="00825C34" w:rsidRPr="00FE62D1" w:rsidRDefault="00DE7AAA" w:rsidP="00FE62D1">
      <w:pPr>
        <w:pStyle w:val="Akapitzlist"/>
        <w:numPr>
          <w:ilvl w:val="0"/>
          <w:numId w:val="3"/>
        </w:numPr>
        <w:spacing w:before="240"/>
        <w:ind w:left="2127" w:hanging="567"/>
        <w:jc w:val="both"/>
        <w:rPr>
          <w:bCs/>
          <w:sz w:val="20"/>
        </w:rPr>
      </w:pPr>
      <w:r w:rsidRPr="00FE62D1">
        <w:rPr>
          <w:bCs/>
          <w:sz w:val="20"/>
        </w:rPr>
        <w:t>W przypadku zaoferowania rozwiązania równoważnego Wykonawca jest zobowiązany uwzględnić w ofercie wszelkie koszty jego wdrożenia u Zamawiającego, w tym koszty migracji danych oraz pokryje również wszelkie udokumentowane koszty po stronie Zamawiającego, związane z wdrożeniem rozwiązania równoważnego.</w:t>
      </w:r>
    </w:p>
    <w:sectPr w:rsidR="00825C34" w:rsidRPr="00FE62D1" w:rsidSect="0032390E">
      <w:headerReference w:type="default" r:id="rId8"/>
      <w:pgSz w:w="11906" w:h="16838"/>
      <w:pgMar w:top="1417" w:right="991"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4D0E4" w14:textId="77777777" w:rsidR="00640764" w:rsidRDefault="00640764" w:rsidP="00E44510">
      <w:pPr>
        <w:spacing w:after="0" w:line="240" w:lineRule="auto"/>
      </w:pPr>
      <w:r>
        <w:separator/>
      </w:r>
    </w:p>
  </w:endnote>
  <w:endnote w:type="continuationSeparator" w:id="0">
    <w:p w14:paraId="4917050E" w14:textId="77777777" w:rsidR="00640764" w:rsidRDefault="00640764" w:rsidP="00E44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84095" w14:textId="77777777" w:rsidR="00640764" w:rsidRDefault="00640764" w:rsidP="00E44510">
      <w:pPr>
        <w:spacing w:after="0" w:line="240" w:lineRule="auto"/>
      </w:pPr>
      <w:r>
        <w:separator/>
      </w:r>
    </w:p>
  </w:footnote>
  <w:footnote w:type="continuationSeparator" w:id="0">
    <w:p w14:paraId="698F47FA" w14:textId="77777777" w:rsidR="00640764" w:rsidRDefault="00640764" w:rsidP="00E44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1EC29" w14:textId="58E6F794" w:rsidR="005D0F79" w:rsidRPr="00760E4A" w:rsidRDefault="00760E4A" w:rsidP="00760E4A">
    <w:pPr>
      <w:pStyle w:val="Nagwek"/>
      <w:jc w:val="center"/>
      <w:rPr>
        <w:sz w:val="20"/>
        <w:szCs w:val="20"/>
      </w:rPr>
    </w:pPr>
    <w:r>
      <w:rPr>
        <w:sz w:val="18"/>
        <w:szCs w:val="18"/>
      </w:rPr>
      <w:t xml:space="preserve"> </w:t>
    </w:r>
    <w:r w:rsidRPr="00760E4A">
      <w:rPr>
        <w:sz w:val="18"/>
        <w:szCs w:val="18"/>
      </w:rPr>
      <w:tab/>
    </w:r>
    <w:r w:rsidRPr="00760E4A">
      <w:rPr>
        <w:sz w:val="18"/>
        <w:szCs w:val="18"/>
      </w:rPr>
      <w:tab/>
    </w:r>
    <w:r w:rsidRPr="00760E4A">
      <w:rPr>
        <w:sz w:val="20"/>
        <w:szCs w:val="20"/>
      </w:rPr>
      <w:t>Załącznik nr 5 do SIWZ</w:t>
    </w:r>
  </w:p>
  <w:p w14:paraId="2EDDBC62" w14:textId="53406458" w:rsidR="00121A3C" w:rsidRPr="00760E4A" w:rsidRDefault="00121A3C" w:rsidP="00760E4A">
    <w:pPr>
      <w:pStyle w:val="Nagwek"/>
      <w:jc w:val="center"/>
      <w:rPr>
        <w:i/>
        <w:sz w:val="20"/>
        <w:szCs w:val="20"/>
      </w:rPr>
    </w:pPr>
    <w:r w:rsidRPr="00760E4A">
      <w:rPr>
        <w:i/>
        <w:sz w:val="20"/>
        <w:szCs w:val="20"/>
      </w:rPr>
      <w:t xml:space="preserve">Modernizacja  infrastruktury </w:t>
    </w:r>
    <w:r w:rsidR="00F62BE7" w:rsidRPr="00760E4A">
      <w:rPr>
        <w:i/>
        <w:sz w:val="20"/>
        <w:szCs w:val="20"/>
      </w:rPr>
      <w:t xml:space="preserve">systemu Finansowo Księgowego </w:t>
    </w:r>
    <w:r w:rsidR="0091352D" w:rsidRPr="00760E4A">
      <w:rPr>
        <w:i/>
        <w:sz w:val="20"/>
        <w:szCs w:val="20"/>
      </w:rPr>
      <w:t xml:space="preserve">– </w:t>
    </w:r>
    <w:r w:rsidRPr="00760E4A">
      <w:rPr>
        <w:i/>
        <w:sz w:val="20"/>
        <w:szCs w:val="20"/>
      </w:rPr>
      <w:t>dostawa</w:t>
    </w:r>
    <w:r w:rsidR="00F62BE7" w:rsidRPr="00760E4A">
      <w:rPr>
        <w:i/>
        <w:sz w:val="20"/>
        <w:szCs w:val="20"/>
      </w:rPr>
      <w:t xml:space="preserve"> licencji</w:t>
    </w:r>
    <w:r w:rsidRPr="00760E4A">
      <w:rPr>
        <w:i/>
        <w:sz w:val="20"/>
        <w:szCs w:val="20"/>
      </w:rPr>
      <w:t xml:space="preserve"> oprogramowania</w:t>
    </w:r>
    <w:r w:rsidR="00F62BE7" w:rsidRPr="00760E4A">
      <w:rPr>
        <w:i/>
        <w:sz w:val="20"/>
        <w:szCs w:val="20"/>
      </w:rPr>
      <w:t xml:space="preserve"> bazodanowego</w:t>
    </w:r>
    <w:r w:rsidRPr="00760E4A">
      <w:rPr>
        <w:i/>
        <w:sz w:val="20"/>
        <w:szCs w:val="20"/>
      </w:rPr>
      <w:t>.</w:t>
    </w:r>
  </w:p>
  <w:p w14:paraId="0B90CD21" w14:textId="77777777" w:rsidR="005D0F79" w:rsidRPr="005D0F79" w:rsidRDefault="005D0F79" w:rsidP="00121A3C">
    <w:pPr>
      <w:pStyle w:val="Nagwek"/>
      <w:rPr>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169E7"/>
    <w:multiLevelType w:val="hybridMultilevel"/>
    <w:tmpl w:val="09381468"/>
    <w:lvl w:ilvl="0" w:tplc="DDB4F2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B6E5DC1"/>
    <w:multiLevelType w:val="hybridMultilevel"/>
    <w:tmpl w:val="1D8A8B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7D642B34"/>
    <w:multiLevelType w:val="multilevel"/>
    <w:tmpl w:val="FAECF1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90E"/>
    <w:rsid w:val="00010126"/>
    <w:rsid w:val="000162C2"/>
    <w:rsid w:val="00027428"/>
    <w:rsid w:val="00032F67"/>
    <w:rsid w:val="00054922"/>
    <w:rsid w:val="0007418F"/>
    <w:rsid w:val="0008545D"/>
    <w:rsid w:val="00087296"/>
    <w:rsid w:val="000964E3"/>
    <w:rsid w:val="000A5338"/>
    <w:rsid w:val="000C7950"/>
    <w:rsid w:val="00121A3C"/>
    <w:rsid w:val="001269A4"/>
    <w:rsid w:val="00135A7C"/>
    <w:rsid w:val="001464DD"/>
    <w:rsid w:val="00162E91"/>
    <w:rsid w:val="001754D8"/>
    <w:rsid w:val="00176A9B"/>
    <w:rsid w:val="001B0A9E"/>
    <w:rsid w:val="001C74E8"/>
    <w:rsid w:val="001F24D4"/>
    <w:rsid w:val="001F3879"/>
    <w:rsid w:val="001F4BAC"/>
    <w:rsid w:val="00223BE0"/>
    <w:rsid w:val="002343B6"/>
    <w:rsid w:val="00257706"/>
    <w:rsid w:val="00261BB3"/>
    <w:rsid w:val="00262608"/>
    <w:rsid w:val="002B3A7B"/>
    <w:rsid w:val="002C2991"/>
    <w:rsid w:val="00323357"/>
    <w:rsid w:val="0032390E"/>
    <w:rsid w:val="00324068"/>
    <w:rsid w:val="00332576"/>
    <w:rsid w:val="00364C3D"/>
    <w:rsid w:val="00377E2E"/>
    <w:rsid w:val="0039718E"/>
    <w:rsid w:val="003B7E85"/>
    <w:rsid w:val="003C4B60"/>
    <w:rsid w:val="003D79B3"/>
    <w:rsid w:val="003E65D4"/>
    <w:rsid w:val="00416F71"/>
    <w:rsid w:val="00425018"/>
    <w:rsid w:val="00451DD8"/>
    <w:rsid w:val="00473E6C"/>
    <w:rsid w:val="00497F80"/>
    <w:rsid w:val="004A163E"/>
    <w:rsid w:val="004A2E8C"/>
    <w:rsid w:val="00502F91"/>
    <w:rsid w:val="00556FD3"/>
    <w:rsid w:val="0056317C"/>
    <w:rsid w:val="00566212"/>
    <w:rsid w:val="0056683A"/>
    <w:rsid w:val="005A46AF"/>
    <w:rsid w:val="005C2FB7"/>
    <w:rsid w:val="005D0F79"/>
    <w:rsid w:val="00601C66"/>
    <w:rsid w:val="006157D2"/>
    <w:rsid w:val="0062454C"/>
    <w:rsid w:val="006276F0"/>
    <w:rsid w:val="00627C4D"/>
    <w:rsid w:val="00631A74"/>
    <w:rsid w:val="00640764"/>
    <w:rsid w:val="00672AEB"/>
    <w:rsid w:val="006B173E"/>
    <w:rsid w:val="006C0FA1"/>
    <w:rsid w:val="006C5215"/>
    <w:rsid w:val="006C7E4B"/>
    <w:rsid w:val="006D343B"/>
    <w:rsid w:val="006F1D73"/>
    <w:rsid w:val="00707515"/>
    <w:rsid w:val="007330FA"/>
    <w:rsid w:val="007337C6"/>
    <w:rsid w:val="0075542C"/>
    <w:rsid w:val="00760E4A"/>
    <w:rsid w:val="00802F9E"/>
    <w:rsid w:val="008128B4"/>
    <w:rsid w:val="00825C34"/>
    <w:rsid w:val="008311F0"/>
    <w:rsid w:val="00847BF4"/>
    <w:rsid w:val="0085066D"/>
    <w:rsid w:val="00874779"/>
    <w:rsid w:val="00887833"/>
    <w:rsid w:val="00897EB6"/>
    <w:rsid w:val="008A1C09"/>
    <w:rsid w:val="008A5A52"/>
    <w:rsid w:val="008C355C"/>
    <w:rsid w:val="008D3D5A"/>
    <w:rsid w:val="008E546C"/>
    <w:rsid w:val="0091352D"/>
    <w:rsid w:val="00940C62"/>
    <w:rsid w:val="009B2C72"/>
    <w:rsid w:val="00A04920"/>
    <w:rsid w:val="00A13B12"/>
    <w:rsid w:val="00A25FD7"/>
    <w:rsid w:val="00AB248A"/>
    <w:rsid w:val="00AB7A30"/>
    <w:rsid w:val="00AD014D"/>
    <w:rsid w:val="00AD0D27"/>
    <w:rsid w:val="00AD26E8"/>
    <w:rsid w:val="00B27331"/>
    <w:rsid w:val="00B6252B"/>
    <w:rsid w:val="00B7360C"/>
    <w:rsid w:val="00BA0083"/>
    <w:rsid w:val="00BE3337"/>
    <w:rsid w:val="00BF72AB"/>
    <w:rsid w:val="00C01D0D"/>
    <w:rsid w:val="00C04321"/>
    <w:rsid w:val="00C16FA2"/>
    <w:rsid w:val="00C240E2"/>
    <w:rsid w:val="00C27236"/>
    <w:rsid w:val="00C34283"/>
    <w:rsid w:val="00C60403"/>
    <w:rsid w:val="00C60833"/>
    <w:rsid w:val="00C633BE"/>
    <w:rsid w:val="00C6344B"/>
    <w:rsid w:val="00C70D29"/>
    <w:rsid w:val="00C771C8"/>
    <w:rsid w:val="00C83845"/>
    <w:rsid w:val="00C93C3C"/>
    <w:rsid w:val="00CB1601"/>
    <w:rsid w:val="00CF5B79"/>
    <w:rsid w:val="00D0391A"/>
    <w:rsid w:val="00D0493B"/>
    <w:rsid w:val="00D067BE"/>
    <w:rsid w:val="00D16411"/>
    <w:rsid w:val="00D4584D"/>
    <w:rsid w:val="00D722C8"/>
    <w:rsid w:val="00D831FB"/>
    <w:rsid w:val="00DE7AAA"/>
    <w:rsid w:val="00E15737"/>
    <w:rsid w:val="00E17970"/>
    <w:rsid w:val="00E44510"/>
    <w:rsid w:val="00E47FC2"/>
    <w:rsid w:val="00E54839"/>
    <w:rsid w:val="00E85DDB"/>
    <w:rsid w:val="00EC2C21"/>
    <w:rsid w:val="00F06E11"/>
    <w:rsid w:val="00F62BE7"/>
    <w:rsid w:val="00F66366"/>
    <w:rsid w:val="00F77ACD"/>
    <w:rsid w:val="00FC234D"/>
    <w:rsid w:val="00FE62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A511"/>
  <w15:docId w15:val="{6D46F7F7-FC0F-40FB-89A6-7D050AE3C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43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2390E"/>
    <w:pPr>
      <w:ind w:left="720"/>
      <w:contextualSpacing/>
    </w:pPr>
  </w:style>
  <w:style w:type="table" w:styleId="Tabela-Siatka">
    <w:name w:val="Table Grid"/>
    <w:basedOn w:val="Standardowy"/>
    <w:uiPriority w:val="39"/>
    <w:rsid w:val="00E44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445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44510"/>
    <w:rPr>
      <w:sz w:val="20"/>
      <w:szCs w:val="20"/>
    </w:rPr>
  </w:style>
  <w:style w:type="character" w:styleId="Odwoanieprzypisukocowego">
    <w:name w:val="endnote reference"/>
    <w:basedOn w:val="Domylnaczcionkaakapitu"/>
    <w:uiPriority w:val="99"/>
    <w:semiHidden/>
    <w:unhideWhenUsed/>
    <w:rsid w:val="00E44510"/>
    <w:rPr>
      <w:vertAlign w:val="superscript"/>
    </w:rPr>
  </w:style>
  <w:style w:type="character" w:styleId="Odwoaniedokomentarza">
    <w:name w:val="annotation reference"/>
    <w:basedOn w:val="Domylnaczcionkaakapitu"/>
    <w:uiPriority w:val="99"/>
    <w:semiHidden/>
    <w:unhideWhenUsed/>
    <w:rsid w:val="0085066D"/>
    <w:rPr>
      <w:sz w:val="16"/>
      <w:szCs w:val="16"/>
    </w:rPr>
  </w:style>
  <w:style w:type="paragraph" w:styleId="Tekstkomentarza">
    <w:name w:val="annotation text"/>
    <w:basedOn w:val="Normalny"/>
    <w:link w:val="TekstkomentarzaZnak"/>
    <w:uiPriority w:val="99"/>
    <w:semiHidden/>
    <w:unhideWhenUsed/>
    <w:rsid w:val="0085066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066D"/>
    <w:rPr>
      <w:sz w:val="20"/>
      <w:szCs w:val="20"/>
    </w:rPr>
  </w:style>
  <w:style w:type="paragraph" w:styleId="Tematkomentarza">
    <w:name w:val="annotation subject"/>
    <w:basedOn w:val="Tekstkomentarza"/>
    <w:next w:val="Tekstkomentarza"/>
    <w:link w:val="TematkomentarzaZnak"/>
    <w:uiPriority w:val="99"/>
    <w:semiHidden/>
    <w:unhideWhenUsed/>
    <w:rsid w:val="0085066D"/>
    <w:rPr>
      <w:b/>
      <w:bCs/>
    </w:rPr>
  </w:style>
  <w:style w:type="character" w:customStyle="1" w:styleId="TematkomentarzaZnak">
    <w:name w:val="Temat komentarza Znak"/>
    <w:basedOn w:val="TekstkomentarzaZnak"/>
    <w:link w:val="Tematkomentarza"/>
    <w:uiPriority w:val="99"/>
    <w:semiHidden/>
    <w:rsid w:val="0085066D"/>
    <w:rPr>
      <w:b/>
      <w:bCs/>
      <w:sz w:val="20"/>
      <w:szCs w:val="20"/>
    </w:rPr>
  </w:style>
  <w:style w:type="paragraph" w:styleId="Tekstdymka">
    <w:name w:val="Balloon Text"/>
    <w:basedOn w:val="Normalny"/>
    <w:link w:val="TekstdymkaZnak"/>
    <w:uiPriority w:val="99"/>
    <w:semiHidden/>
    <w:unhideWhenUsed/>
    <w:rsid w:val="008506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066D"/>
    <w:rPr>
      <w:rFonts w:ascii="Segoe UI" w:hAnsi="Segoe UI" w:cs="Segoe UI"/>
      <w:sz w:val="18"/>
      <w:szCs w:val="18"/>
    </w:rPr>
  </w:style>
  <w:style w:type="paragraph" w:styleId="Nagwek">
    <w:name w:val="header"/>
    <w:basedOn w:val="Normalny"/>
    <w:link w:val="NagwekZnak"/>
    <w:uiPriority w:val="99"/>
    <w:unhideWhenUsed/>
    <w:rsid w:val="005D0F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0F79"/>
  </w:style>
  <w:style w:type="paragraph" w:styleId="Stopka">
    <w:name w:val="footer"/>
    <w:basedOn w:val="Normalny"/>
    <w:link w:val="StopkaZnak"/>
    <w:uiPriority w:val="99"/>
    <w:unhideWhenUsed/>
    <w:rsid w:val="005D0F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0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913DB-CA54-4243-B31E-72F1DEBC0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1030</Words>
  <Characters>6181</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Hołubowski</dc:creator>
  <cp:lastModifiedBy>Anna Schroeder</cp:lastModifiedBy>
  <cp:revision>5</cp:revision>
  <cp:lastPrinted>2020-11-13T13:34:00Z</cp:lastPrinted>
  <dcterms:created xsi:type="dcterms:W3CDTF">2020-11-13T11:27:00Z</dcterms:created>
  <dcterms:modified xsi:type="dcterms:W3CDTF">2020-11-24T11:50:00Z</dcterms:modified>
</cp:coreProperties>
</file>