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55. Ustala się rozstrzygnięcia szczegółowe dla akwenu POM.55.Pw, określone w karcie akwenu.</w:t>
      </w:r>
    </w:p>
    <w:tbl>
      <w:tblPr>
        <w:tblpPr w:leftFromText="142" w:rightFromText="142" w:vertAnchor="text" w:horzAnchor="margin" w:tblpY="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928"/>
        <w:gridCol w:w="2057"/>
        <w:gridCol w:w="2148"/>
        <w:gridCol w:w="3377"/>
      </w:tblGrid>
      <w:tr>
        <w:trPr>
          <w:trHeight w:val="600"/>
        </w:trPr>
        <w:tc>
          <w:tcPr>
            <w:tcW w:w="6133" w:type="dxa"/>
            <w:gridSpan w:val="3"/>
            <w:vMerge w:val="restart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akwenu</w:t>
            </w:r>
          </w:p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POM.55.P</w:t>
            </w:r>
            <w:r>
              <w:rPr>
                <w:rFonts w:ascii="Times New Roman" w:hAnsi="Times New Roman" w:cs="Times New Roman"/>
                <w:caps w:val="0"/>
              </w:rPr>
              <w:t>w</w:t>
            </w:r>
          </w:p>
        </w:tc>
        <w:tc>
          <w:tcPr>
            <w:tcW w:w="3377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oznaczenie literowe</w:t>
            </w:r>
          </w:p>
        </w:tc>
      </w:tr>
      <w:tr>
        <w:trPr>
          <w:trHeight w:val="735"/>
        </w:trPr>
        <w:tc>
          <w:tcPr>
            <w:tcW w:w="6133" w:type="dxa"/>
            <w:gridSpan w:val="3"/>
            <w:vMerge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Pw</w:t>
            </w:r>
          </w:p>
        </w:tc>
      </w:tr>
      <w:tr>
        <w:trPr>
          <w:trHeight w:val="948"/>
        </w:trPr>
        <w:tc>
          <w:tcPr>
            <w:tcW w:w="1928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numer akwenu</w:t>
            </w:r>
          </w:p>
        </w:tc>
        <w:tc>
          <w:tcPr>
            <w:tcW w:w="2057" w:type="dxa"/>
          </w:tcPr>
          <w:p>
            <w:pPr>
              <w:pStyle w:val="TYTTABELItytutabeli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2148" w:type="dxa"/>
            <w:vMerge w:val="restart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opis położenia</w:t>
            </w:r>
          </w:p>
        </w:tc>
        <w:tc>
          <w:tcPr>
            <w:tcW w:w="3377" w:type="dxa"/>
            <w:vMerge w:val="restart"/>
            <w:vAlign w:val="center"/>
          </w:tcPr>
          <w:tbl>
            <w:tblPr>
              <w:tblW w:w="3175" w:type="dxa"/>
              <w:tblBorders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1"/>
              <w:gridCol w:w="1472"/>
              <w:gridCol w:w="1472"/>
            </w:tblGrid>
            <w:tr>
              <w:trPr>
                <w:trHeight w:val="300"/>
              </w:trPr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5’ 18.999” N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18° 23’ 38.965”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12’ 7.992” N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18° 7’ 10.046”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18’ 25.019” N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17° 43’ 31.922”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24’ 56.531” N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18° 33’ 47.847”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9’ 47.515” N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before="120"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18° 41’ 8.986” E</w:t>
                  </w:r>
                </w:p>
              </w:tc>
            </w:tr>
          </w:tbl>
          <w:p>
            <w:pPr>
              <w:pStyle w:val="TYTTABELItytutabeli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18"/>
              </w:rPr>
              <w:t xml:space="preserve">pełny wykaz współrzędnych znajduje się </w:t>
            </w:r>
            <w:r>
              <w:rPr>
                <w:rFonts w:ascii="Times New Roman" w:hAnsi="Times New Roman" w:cs="Times New Roman"/>
                <w:b w:val="0"/>
                <w:caps w:val="0"/>
                <w:sz w:val="18"/>
              </w:rPr>
              <w:br/>
              <w:t xml:space="preserve">w </w:t>
            </w:r>
            <w:r>
              <w:rPr>
                <w:b w:val="0"/>
                <w:caps w:val="0"/>
                <w:sz w:val="18"/>
              </w:rPr>
              <w:t xml:space="preserve">§ 14.55 </w:t>
            </w:r>
            <w:r>
              <w:rPr>
                <w:rFonts w:ascii="Times New Roman" w:hAnsi="Times New Roman" w:cs="Times New Roman"/>
                <w:b w:val="0"/>
                <w:caps w:val="0"/>
                <w:sz w:val="18"/>
              </w:rPr>
              <w:t>Załącznika nr 1 – Ustalenia ogólne</w:t>
            </w:r>
          </w:p>
        </w:tc>
      </w:tr>
      <w:tr>
        <w:trPr>
          <w:trHeight w:val="948"/>
        </w:trPr>
        <w:tc>
          <w:tcPr>
            <w:tcW w:w="1928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pole powierzchni</w:t>
            </w:r>
          </w:p>
        </w:tc>
        <w:tc>
          <w:tcPr>
            <w:tcW w:w="2057" w:type="dxa"/>
          </w:tcPr>
          <w:p>
            <w:pPr>
              <w:pStyle w:val="TYTTABELItytutabeli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>1140,42 km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vertAlign w:val="superscript"/>
              </w:rPr>
              <w:t>2</w:t>
            </w:r>
          </w:p>
        </w:tc>
        <w:tc>
          <w:tcPr>
            <w:tcW w:w="2148" w:type="dxa"/>
            <w:vMerge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vMerge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8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funkcja podstawowa</w:t>
            </w:r>
          </w:p>
        </w:tc>
      </w:tr>
      <w:tr>
        <w:trPr>
          <w:trHeight w:val="405"/>
        </w:trPr>
        <w:tc>
          <w:tcPr>
            <w:tcW w:w="9510" w:type="dxa"/>
            <w:gridSpan w:val="4"/>
          </w:tcPr>
          <w:p>
            <w:pPr>
              <w:pStyle w:val="TYTTABELItytutabeli"/>
              <w:ind w:left="36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REZERWA DLA PRZYSZŁEGO ROZWOJU Z DOPUSZCZENIEM WYDOBYCIA (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caps w:val="0"/>
              </w:rPr>
              <w:t>w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  <w:tr>
        <w:trPr>
          <w:trHeight w:val="46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funkcje dopuszczalne</w:t>
            </w:r>
          </w:p>
        </w:tc>
      </w:tr>
      <w:tr>
        <w:trPr>
          <w:trHeight w:val="405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akwakultura (A);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badania naukowe (N);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dziedzictwo kulturowe (D);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infrastruktura techniczna (I);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poszukiwanie, rozpoznawanie złóż kopalin oraz wydobywanie kopalin ze złóż (K); 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rybołówstwo (R);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sztuczne wyspy i konstrukcje (W);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transport (T);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contextualSpacing w:val="0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turystyka, sport i rekreacja (S).</w:t>
            </w:r>
          </w:p>
        </w:tc>
      </w:tr>
      <w:tr>
        <w:trPr>
          <w:trHeight w:val="51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zakazy LUB ograniczenia W korzystaniu z Poszczególnych obszarów </w:t>
            </w:r>
          </w:p>
        </w:tc>
      </w:tr>
      <w:tr>
        <w:trPr>
          <w:trHeight w:val="555"/>
        </w:trPr>
        <w:tc>
          <w:tcPr>
            <w:tcW w:w="9510" w:type="dxa"/>
            <w:gridSpan w:val="4"/>
          </w:tcPr>
          <w:p>
            <w:pPr>
              <w:pStyle w:val="TYTTABELItytutabeli"/>
              <w:numPr>
                <w:ilvl w:val="0"/>
                <w:numId w:val="3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bookmarkStart w:id="0" w:name="_Hlk530146366"/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dla akwakultury:</w:t>
            </w:r>
          </w:p>
          <w:p>
            <w:pPr>
              <w:pStyle w:val="TYTTABELItytutabeli"/>
              <w:numPr>
                <w:ilvl w:val="1"/>
                <w:numId w:val="3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>w całym akwenie ogranicza się realizację funkcji do przedsięwzięć uzgodnionych z koncesjonariuszem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badań naukowych:</w:t>
            </w:r>
            <w:r>
              <w:rPr>
                <w:rFonts w:ascii="Times New Roman" w:hAnsi="Times New Roman"/>
                <w:caps/>
                <w:sz w:val="22"/>
                <w:szCs w:val="22"/>
                <w:lang w:val="pl-PL"/>
              </w:rPr>
              <w:t xml:space="preserve"> </w:t>
            </w:r>
          </w:p>
          <w:p>
            <w:pPr>
              <w:pStyle w:val="TYTTABELItytutabeli"/>
              <w:numPr>
                <w:ilvl w:val="1"/>
                <w:numId w:val="3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 ogranicza się prowadzenie badań naukowych do sposobów:</w:t>
            </w:r>
          </w:p>
          <w:p>
            <w:pPr>
              <w:pStyle w:val="TYTTABELItytutabeli"/>
              <w:numPr>
                <w:ilvl w:val="2"/>
                <w:numId w:val="3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lastRenderedPageBreak/>
              <w:t>nienaruszających elementów liniowych infrastruktury technicznej;</w:t>
            </w:r>
          </w:p>
          <w:p>
            <w:pPr>
              <w:pStyle w:val="TYTTABELItytutabeli"/>
              <w:numPr>
                <w:ilvl w:val="2"/>
                <w:numId w:val="3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bezpieczeństwu żeglugi;</w:t>
            </w:r>
          </w:p>
          <w:p>
            <w:pPr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dziedzictwa kulturowego:</w:t>
            </w:r>
          </w:p>
          <w:p>
            <w:pPr>
              <w:pStyle w:val="Akapitzlist"/>
              <w:numPr>
                <w:ilvl w:val="1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keepNext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bCs/>
                <w:i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dla infrastruktury technicznej:</w:t>
            </w:r>
            <w:r>
              <w:rPr>
                <w:rFonts w:ascii="Times New Roman" w:hAnsi="Times New Roman"/>
                <w:bCs/>
                <w:i/>
                <w:kern w:val="24"/>
              </w:rPr>
              <w:t xml:space="preserve"> </w:t>
            </w:r>
          </w:p>
          <w:p>
            <w:pPr>
              <w:keepNext/>
              <w:numPr>
                <w:ilvl w:val="1"/>
                <w:numId w:val="3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całym akwenie:</w:t>
            </w:r>
          </w:p>
          <w:p>
            <w:pPr>
              <w:pStyle w:val="Akapitzlist"/>
              <w:keepNext/>
              <w:numPr>
                <w:ilvl w:val="2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ogranicza się realizację funkcji:</w:t>
            </w:r>
          </w:p>
          <w:p>
            <w:pPr>
              <w:pStyle w:val="Akapitzlist"/>
              <w:keepNext/>
              <w:numPr>
                <w:ilvl w:val="3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do sposobów niezagrażających bezpieczeństwu żeglugi;</w:t>
            </w:r>
          </w:p>
          <w:p>
            <w:pPr>
              <w:pStyle w:val="Akapitzlist"/>
              <w:keepNext/>
              <w:numPr>
                <w:ilvl w:val="3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do inwestycji uzgodnionych z Ministerstwem Obrony Narodowej;</w:t>
            </w:r>
          </w:p>
          <w:p>
            <w:pPr>
              <w:keepNext/>
              <w:numPr>
                <w:ilvl w:val="2"/>
                <w:numId w:val="3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 się układania nowych elementów liniowych infrastruktury technicznej pod powierzchnią dna morskiego, a jeśli jest to niemożliwe ze względów środowiskowych czy technologicznych, należy stosować inne zabezpieczenia trwałe zapewniające bezpieczeństwo nawigacji;</w:t>
            </w:r>
          </w:p>
          <w:p>
            <w:pPr>
              <w:pStyle w:val="Akapitzlist"/>
              <w:numPr>
                <w:ilvl w:val="0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poszukiwania, rozpoznawania złóż kopalin oraz wydobywania kopalin ze złóż:</w:t>
            </w:r>
          </w:p>
          <w:p>
            <w:pPr>
              <w:pStyle w:val="Akapitzlist"/>
              <w:numPr>
                <w:ilvl w:val="1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całym akwenie ogranicza się realizację funkcji do sposobów:</w:t>
            </w:r>
          </w:p>
          <w:p>
            <w:pPr>
              <w:pStyle w:val="Akapitzlist"/>
              <w:numPr>
                <w:ilvl w:val="2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niezagrażających bezpieczeństwu żeglugi;</w:t>
            </w:r>
          </w:p>
          <w:p>
            <w:pPr>
              <w:pStyle w:val="Akapitzlist"/>
              <w:keepNext/>
              <w:numPr>
                <w:ilvl w:val="2"/>
                <w:numId w:val="3"/>
              </w:numPr>
              <w:spacing w:after="120"/>
              <w:contextualSpacing w:val="0"/>
              <w:rPr>
                <w:rFonts w:ascii="Times New Roman" w:hAnsi="Times New Roman"/>
                <w:bCs/>
                <w:caps/>
                <w:strike/>
                <w:kern w:val="24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nienaruszających elementów liniowych infrastruktury technicznej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rybołówstwa:</w:t>
            </w:r>
          </w:p>
          <w:p>
            <w:pPr>
              <w:pStyle w:val="Akapitzlist"/>
              <w:numPr>
                <w:ilvl w:val="1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keepNext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dla sztucznych wysp i konstrukcji:</w:t>
            </w:r>
          </w:p>
          <w:p>
            <w:pPr>
              <w:keepNext/>
              <w:numPr>
                <w:ilvl w:val="1"/>
                <w:numId w:val="3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>w całym akwenie ogranicza się realizację funkcji</w:t>
            </w:r>
            <w:r>
              <w:rPr>
                <w:rFonts w:ascii="Times New Roman" w:hAnsi="Times New Roman"/>
                <w:kern w:val="24"/>
              </w:rPr>
              <w:t>:</w:t>
            </w:r>
          </w:p>
          <w:p>
            <w:pPr>
              <w:keepNext/>
              <w:numPr>
                <w:ilvl w:val="2"/>
                <w:numId w:val="3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wznoszenia sztucznych wysp, konstrukcji i urządzeń służących poszukiwaniu, rozpoznawaniu i wydobywaniu węglowodorów</w:t>
            </w:r>
            <w:r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keepNext/>
              <w:numPr>
                <w:ilvl w:val="2"/>
                <w:numId w:val="3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sposobów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nienaruszających istniejących elementów liniowych infrastruktury technicznej;</w:t>
            </w:r>
          </w:p>
          <w:p>
            <w:pPr>
              <w:pStyle w:val="TYTTABELItytutabeli"/>
              <w:numPr>
                <w:ilvl w:val="2"/>
                <w:numId w:val="3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do sposobów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bezpieczeństwu żeglugi;</w:t>
            </w:r>
          </w:p>
          <w:p>
            <w:pPr>
              <w:pStyle w:val="TYTTABELItytutabeli"/>
              <w:numPr>
                <w:ilvl w:val="1"/>
                <w:numId w:val="3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ogranicza się wznoszenie sztucznych wysp, konstrukcji i urządzeń służących wydobywaniu węglowodorów  do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 podakwen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u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 xml:space="preserve"> 55.407.K</w:t>
            </w: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;</w:t>
            </w:r>
          </w:p>
          <w:p>
            <w:pPr>
              <w:keepNext/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  <w:bCs/>
                <w:kern w:val="24"/>
              </w:rPr>
            </w:pPr>
            <w:r>
              <w:rPr>
                <w:rFonts w:ascii="Times New Roman" w:hAnsi="Times New Roman"/>
                <w:bCs/>
                <w:kern w:val="24"/>
              </w:rPr>
              <w:t>dla turystyki, sportu i rekreacji:</w:t>
            </w:r>
          </w:p>
          <w:p>
            <w:pPr>
              <w:pStyle w:val="Akapitzlist"/>
              <w:numPr>
                <w:ilvl w:val="1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numPr>
                <w:ilvl w:val="0"/>
                <w:numId w:val="3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transportu:</w:t>
            </w:r>
          </w:p>
          <w:p>
            <w:pPr>
              <w:pStyle w:val="Akapitzlist"/>
              <w:numPr>
                <w:ilvl w:val="1"/>
                <w:numId w:val="3"/>
              </w:numPr>
              <w:spacing w:after="120"/>
              <w:contextualSpacing w:val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pStyle w:val="TYTTABELItytutabeli"/>
              <w:numPr>
                <w:ilvl w:val="0"/>
                <w:numId w:val="3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inne:</w:t>
            </w:r>
          </w:p>
          <w:p>
            <w:pPr>
              <w:pStyle w:val="Akapitzlist"/>
              <w:numPr>
                <w:ilvl w:val="1"/>
                <w:numId w:val="3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 realizacji inwestycji polegającej na układaniu elementów liniowych infrastruktury technicznej wymaga się ustanowienia wokół nich strefy bezpieczeństwa </w:t>
            </w:r>
            <w:r>
              <w:rPr>
                <w:rFonts w:ascii="Times New Roman" w:hAnsi="Times New Roman"/>
                <w:sz w:val="22"/>
                <w:szCs w:val="22"/>
              </w:rPr>
              <w:t>przez właściwego terytorialnie dyrektora urzędu morskiego,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której będzie obowiązywać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zakaz kotwiczenia, z wyłączeniem kotwiczenia awaryjnego oraz związanego z pracami instalacyjnymi i serwisowymi</w:t>
            </w:r>
          </w:p>
        </w:tc>
      </w:tr>
      <w:bookmarkEnd w:id="0"/>
      <w:tr>
        <w:trPr>
          <w:trHeight w:val="58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inwestycje celu publicznego</w:t>
            </w:r>
          </w:p>
        </w:tc>
      </w:tr>
      <w:tr>
        <w:trPr>
          <w:trHeight w:val="465"/>
        </w:trPr>
        <w:tc>
          <w:tcPr>
            <w:tcW w:w="9510" w:type="dxa"/>
            <w:gridSpan w:val="4"/>
          </w:tcPr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 xml:space="preserve">wyznacza się 55.202.I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 xml:space="preserve">przeznaczony 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układanie i utrzymywanie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>elementów liniowych infrastruktury technicznej – zewnętrznej infrastruktury przyłączeniowej morskich farm wiatrowych oraz rurociągów związanych z wydobyciem węglowodorów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;</w:t>
            </w:r>
          </w:p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trike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 xml:space="preserve">wyznacza się 55.203.I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–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 xml:space="preserve">przeznaczony na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układanie i utrzymywanie </w:t>
            </w:r>
            <w:r>
              <w:rPr>
                <w:rFonts w:ascii="Times New Roman" w:hAnsi="Times New Roman"/>
                <w:b w:val="0"/>
                <w:bCs w:val="0"/>
                <w:caps w:val="0"/>
                <w:sz w:val="22"/>
              </w:rPr>
              <w:t xml:space="preserve">kabli energetycznych oraz gazociągów związanych z wydobyciem węglowodorów (zgodnie z Planem Ruchu Zakładu Górniczego MKR B8) oraz na układanie innych elementów liniowych infrastruktury technicznej,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w tym planowanego połączenia stałoprądowego pomiędzy Polską a Litwą;</w:t>
            </w:r>
          </w:p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jc w:val="left"/>
              <w:rPr>
                <w:rStyle w:val="Ppogrubienie"/>
                <w:rFonts w:cs="Arial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>wyznacza się podakwen 55.407.K gdzie dopuszcza się poszukiwanie, rozpoznawanie i wydobycie węglowodorów zgodnie z zapisami koncesji nr 37/2001/Ł i koncesji nr 38/2001/p;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Style w:val="Ppogrubienie"/>
                <w:rFonts w:cs="Arial"/>
                <w:caps w:val="0"/>
                <w:sz w:val="22"/>
              </w:rPr>
              <w:t>realizacja inwestycji w zakresie podziemnego składowania dwutlenku węgla;</w:t>
            </w:r>
          </w:p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jc w:val="left"/>
              <w:rPr>
                <w:rStyle w:val="Ppogrubienie"/>
                <w:rFonts w:cs="Arial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planowana inwestycja polegająca na ułożeniu kabla podmorskiego i utworzeniu połączenia stałoprądowego pomiędzy Polską a Litwą</w:t>
            </w:r>
            <w:r>
              <w:rPr>
                <w:rFonts w:cs="Times New Roman"/>
                <w:b w:val="0"/>
                <w:caps w:val="0"/>
              </w:rPr>
              <w:t xml:space="preserve"> </w:t>
            </w:r>
            <w:r>
              <w:rPr>
                <w:rStyle w:val="Ppogrubienie"/>
                <w:rFonts w:cs="Arial"/>
                <w:caps w:val="0"/>
                <w:sz w:val="22"/>
              </w:rPr>
              <w:t>poza wyznaczonymi podakwenami</w:t>
            </w:r>
            <w:r>
              <w:rPr>
                <w:rStyle w:val="Ppogrubienie"/>
                <w:rFonts w:cs="Arial"/>
              </w:rPr>
              <w:t>.</w:t>
            </w:r>
          </w:p>
        </w:tc>
      </w:tr>
      <w:tr>
        <w:trPr>
          <w:trHeight w:val="28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warunki korzystania z akwenu</w:t>
            </w:r>
          </w:p>
        </w:tc>
      </w:tr>
      <w:tr>
        <w:trPr>
          <w:trHeight w:val="285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5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ochrona środowiska:</w:t>
            </w:r>
          </w:p>
          <w:p>
            <w:pPr>
              <w:pStyle w:val="Akapitzlist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pStyle w:val="TYTTABELItytutabeli"/>
              <w:numPr>
                <w:ilvl w:val="0"/>
                <w:numId w:val="5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obronność i bezpieczeństwo państwa:</w:t>
            </w:r>
          </w:p>
          <w:p>
            <w:pPr>
              <w:pStyle w:val="Akapitzlist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/>
                <w:strike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</w:rPr>
              <w:t>wyznacza się podakwen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pl-PL"/>
              </w:rPr>
              <w:t>5</w:t>
            </w:r>
            <w:r>
              <w:rPr>
                <w:rFonts w:ascii="Times New Roman" w:hAnsi="Times New Roman"/>
              </w:rPr>
              <w:t xml:space="preserve">.923.B </w:t>
            </w:r>
            <w:r>
              <w:rPr>
                <w:rFonts w:ascii="Times New Roman" w:hAnsi="Times New Roman"/>
                <w:lang w:val="pl-PL"/>
              </w:rPr>
              <w:t xml:space="preserve">(tożsamy z całym akwenem) </w:t>
            </w:r>
            <w:r>
              <w:rPr>
                <w:rFonts w:ascii="Times New Roman" w:hAnsi="Times New Roman"/>
              </w:rPr>
              <w:t xml:space="preserve">dla poligonów Marynarki Wojennej RP </w:t>
            </w:r>
            <w:r>
              <w:rPr>
                <w:rFonts w:ascii="Times New Roman" w:hAnsi="Times New Roman"/>
                <w:lang w:val="pl-PL"/>
              </w:rPr>
              <w:t>(P-16 i P-18)</w:t>
            </w:r>
            <w:r>
              <w:rPr>
                <w:rFonts w:ascii="Times New Roman" w:hAnsi="Times New Roman"/>
              </w:rPr>
              <w:t>. Zmiana ich istniejącego stanu zagospodarowania wymaga uzgodnień z Ministerstwem Obrony Narodowej. W okresie działań prowadzonych przez Siły Zbrojne RP, w podakwenie może zostać uniemożliwiona realizacja pozostałych funkcji</w:t>
            </w:r>
            <w:r>
              <w:rPr>
                <w:rFonts w:ascii="Times New Roman" w:hAnsi="Times New Roman"/>
                <w:lang w:val="pl-PL"/>
              </w:rPr>
              <w:t>;</w:t>
            </w:r>
          </w:p>
          <w:p>
            <w:pPr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ochrona dziedzictwa kulturowego:</w:t>
            </w:r>
          </w:p>
          <w:p>
            <w:pPr>
              <w:pStyle w:val="Akapitzlist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rybołówstwo i akwakultura:</w:t>
            </w:r>
          </w:p>
          <w:p>
            <w:pPr>
              <w:numPr>
                <w:ilvl w:val="1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dopuszcza</w:t>
            </w:r>
            <w:r>
              <w:rPr>
                <w:rFonts w:ascii="Times New Roman" w:hAnsi="Times New Roman"/>
              </w:rPr>
              <w:t xml:space="preserve"> się akwakulturę pod warunkiem współwykorzystania przestrzeni zajętej przez konstrukcje wydobywcze;</w:t>
            </w:r>
          </w:p>
          <w:p>
            <w:pPr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pozyskiwanie energii odnawialnej:</w:t>
            </w:r>
          </w:p>
          <w:p>
            <w:pPr>
              <w:pStyle w:val="Akapitzlist"/>
              <w:numPr>
                <w:ilvl w:val="1"/>
                <w:numId w:val="5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dopuszcza się;</w:t>
            </w:r>
          </w:p>
          <w:p>
            <w:pPr>
              <w:numPr>
                <w:ilvl w:val="0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poszukiwanie, rozpoznawanie złóż kopalin oraz wydobywanie kopalin ze złóż:</w:t>
            </w:r>
          </w:p>
          <w:p>
            <w:pPr>
              <w:numPr>
                <w:ilvl w:val="1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dopuszcza się poszukiwanie, rozpoznawanie złóż kopalin w całym akwenie;</w:t>
            </w:r>
          </w:p>
          <w:p>
            <w:pPr>
              <w:numPr>
                <w:ilvl w:val="1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dopuszcza się wydobywanie kopalin ze złóż zgodnie z ograniczeniami w ust 7 pkt 5 i 7;</w:t>
            </w:r>
          </w:p>
          <w:p>
            <w:pPr>
              <w:numPr>
                <w:ilvl w:val="1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wymaga się każdorazowego uzgodnienia z Ministerstwem Obrony Narodowej szczegółowej lokalizacji oraz warunków poszukiwania, rozpoznawania oraz wydobywania;</w:t>
            </w:r>
          </w:p>
          <w:p>
            <w:pPr>
              <w:numPr>
                <w:ilvl w:val="1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wymaga się wprowadzenia decyzją właściwego terytorialnie dyrektora urzędu morskiego ograniczenia uprawiania rybołówstwa i żeglugi w strefach bezpieczeństwa ustalonych dla </w:t>
            </w:r>
            <w:r>
              <w:rPr>
                <w:rFonts w:ascii="Times New Roman" w:hAnsi="Times New Roman"/>
              </w:rPr>
              <w:lastRenderedPageBreak/>
              <w:t>nowo powstałych konstrukcji wiertniczych i innych elementów stanowiących zagrożenie nawigacyjne;</w:t>
            </w:r>
          </w:p>
          <w:p>
            <w:pPr>
              <w:numPr>
                <w:ilvl w:val="1"/>
                <w:numId w:val="5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dopuszcza się lokalizowanie kompleksu podziemnego składowania dwutlenku węgla.</w:t>
            </w:r>
          </w:p>
        </w:tc>
      </w:tr>
      <w:tr>
        <w:trPr>
          <w:trHeight w:val="52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ustalenia wiążące samorządy województw oraz gminy</w:t>
            </w:r>
          </w:p>
        </w:tc>
      </w:tr>
      <w:tr>
        <w:trPr>
          <w:trHeight w:val="315"/>
        </w:trPr>
        <w:tc>
          <w:tcPr>
            <w:tcW w:w="9510" w:type="dxa"/>
            <w:gridSpan w:val="4"/>
          </w:tcPr>
          <w:p>
            <w:pPr>
              <w:pStyle w:val="TYTTABELItytutabeli"/>
              <w:numPr>
                <w:ilvl w:val="0"/>
                <w:numId w:val="2"/>
              </w:numPr>
              <w:spacing w:before="0" w:after="120" w:line="276" w:lineRule="auto"/>
              <w:ind w:left="714" w:hanging="357"/>
              <w:jc w:val="left"/>
              <w:rPr>
                <w:rFonts w:ascii="Times New Roman" w:hAnsi="Times New Roman" w:cs="Times New Roman"/>
                <w:b w:val="0"/>
                <w:caps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</w:rPr>
              <w:t>nie ustala się.</w:t>
            </w:r>
          </w:p>
        </w:tc>
      </w:tr>
      <w:tr>
        <w:trPr>
          <w:trHeight w:val="33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Style w:val="IDindeksdolny"/>
                <w:rFonts w:ascii="Times New Roman" w:hAnsi="Times New Roman"/>
              </w:rPr>
            </w:pPr>
            <w:r>
              <w:rPr>
                <w:rStyle w:val="IDindeksdolny"/>
                <w:rFonts w:ascii="Times New Roman" w:hAnsi="Times New Roman"/>
              </w:rPr>
              <w:t>uwarunkowania</w:t>
            </w:r>
          </w:p>
        </w:tc>
      </w:tr>
      <w:tr>
        <w:trPr>
          <w:trHeight w:val="30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zasady korzystania z akwenu</w:t>
            </w:r>
          </w:p>
          <w:p>
            <w:pPr>
              <w:pStyle w:val="TEKSTwTABELIWYRODKOWANYtekstwyrodkowanywpoziomi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(wynikające z dokumentów lub aktów normatywnych)</w:t>
            </w:r>
          </w:p>
        </w:tc>
      </w:tr>
      <w:tr>
        <w:trPr>
          <w:trHeight w:val="255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formy ochrony przyrody i ich otulin oraz ustalenia planów ochrony, o których mowa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br/>
              <w:t>w przepisach o ochronie przyrody: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ind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brak;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ind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obiekty i akweny chronione ustanowione na podstawie przepisów o ochronie zabytków i opiece nad zabytkami: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lang w:val="pl-PL"/>
              </w:rPr>
              <w:t>w akwenie zlokalizowane jest podwodne dziedzictwo kulturowe; ograniczenia dotyczące użytkowania akwenu mogą być wprowadzone przez właściwego terytorialnie dyrektora urzędu morskiego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ind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obiekty i strefy chronione ustanowione na podstawie przepisów o ochronie środowiska: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brak;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strefy zamknięte dla żeglugi i rybołówstwa oraz ogłaszane okresowo strefy niebezpieczne dla żeglugi i rybołówstwa, ustanawiane na podstawie art. 3 ust. 1 ustawy o obszarach morskich Rzeczypospolitej Polskiej i administracji morskiej: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funkcjonują poligony morskie Marynarki Wojennej RP, które mogą być ogłaszane okresowo jako strefy niebezpieczne dla żeglugi lub rybołówstwa;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ind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ochrona żywych zasobów morza na podstawie przepisów o rybołówstwie morskim: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obowiązują zasady, zakazy i ograniczenia obowiązujące rybołówstwo;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ind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działania realizowane w ramach Krajowego programu ochrony wód morskich: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obowiązują działania opisane w Krajowym programie ochrony wód morskich.</w:t>
            </w:r>
          </w:p>
        </w:tc>
      </w:tr>
      <w:tr>
        <w:trPr>
          <w:trHeight w:val="240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szczególnie istotne uwarunkowania dotyczące akwenu</w:t>
            </w:r>
          </w:p>
        </w:tc>
      </w:tr>
      <w:tr>
        <w:trPr>
          <w:trHeight w:val="210"/>
        </w:trPr>
        <w:tc>
          <w:tcPr>
            <w:tcW w:w="9510" w:type="dxa"/>
            <w:gridSpan w:val="4"/>
          </w:tcPr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 podstawie przepisów ustawy z dnia 21 marca 1991 r. o obszarach morskich Rzeczypospolitej Polskiej i administracji morskiej akwen jest położony w terytorialnym zakresie działania Dyrektora Urzędu Morskiego w Gdyni, na obszarze wyłącznej strefy ekonomicznej RP;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 podstawie zapisów ustawy z dnia 19 grudnia 2014 r. o rybołówstwie morskim akwen jest wykorzystywany do rybołówstwa (głównie jednostki rybackie powyżej 12 m);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akwen jest wykorzystywany do żeglugi i transportu morskiego;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akwen jest wykorzystywany na rzecz obronności i bezpieczeństwa państwa;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 xml:space="preserve">akwen, dla którego są wydane koncesje na poszukiwanie i rozpoznawanie złoża węglowodorów oraz wydobywanie węglowodorów ze złoża (część północno-wschodnia); 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są prowadzone badania naukowe;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znajdują się elementy podwodnego dziedzictwa kulturowego, w tym cmentarzysko podwodne;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znajduje się infrastruktura techniczna (rurociąg);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 części zachodniej akwenu istnieją optymalne warunki do tarła śledzia jesiennego i wiosennego oraz pelagicznego tarła storni; 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są zlokalizowane poligony morskie Marynarki Wojennej RP P-16, P-18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;</w:t>
            </w:r>
            <w:bookmarkStart w:id="1" w:name="_GoBack"/>
            <w:bookmarkEnd w:id="1"/>
          </w:p>
          <w:p>
            <w:pPr>
              <w:pStyle w:val="OZNPROJEKTUwskazaniedatylubwersjiprojektu"/>
              <w:numPr>
                <w:ilvl w:val="0"/>
                <w:numId w:val="1"/>
              </w:numPr>
              <w:spacing w:after="120" w:line="276" w:lineRule="auto"/>
              <w:ind w:left="714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na podstawie ustawy </w:t>
            </w:r>
            <w:r>
              <w:rPr>
                <w:lang w:eastAsia="en-US"/>
              </w:rPr>
              <w:t xml:space="preserve">– </w:t>
            </w:r>
            <w:r>
              <w:rPr>
                <w:rFonts w:cs="Times New Roman"/>
                <w:sz w:val="22"/>
                <w:szCs w:val="22"/>
                <w:u w:val="none"/>
              </w:rPr>
              <w:t>Prawo geologiczne i górnicze udzielono koncesji nr 37/2001/p na poszukiwanie i rozpoznawanie złóż ropy naftowej i gazu ziemnego, przekształconej 29 czerwca 2017 r. w koncesję nr 37/2001/Ł na poszukiwanie i rozpoznawanie złóż ropy naftowej i gazu ziemnego oraz wydobywanie ropy naftowej i gazu ziemnego ze złóż na obszarze Łeba;</w:t>
            </w:r>
          </w:p>
          <w:p>
            <w:pPr>
              <w:pStyle w:val="Default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podstawie ustawy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Prawo geologiczne i górnicze udzielono koncesji nr 38/2001/p na poszukiwanie i rozpoznawanie złóż ropy naftowej i gazu ziemnego ze złóż na obszarze Rozewie;</w:t>
            </w:r>
          </w:p>
          <w:p>
            <w:pPr>
              <w:pStyle w:val="Default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2"/>
              </w:rPr>
              <w:t xml:space="preserve">na podstawie decyzji </w:t>
            </w:r>
            <w:r>
              <w:rPr>
                <w:rFonts w:ascii="Times New Roman" w:hAnsi="Times New Roman" w:cs="Times New Roman"/>
                <w:sz w:val="22"/>
              </w:rPr>
              <w:t xml:space="preserve">Ministra Infrastruktury i Rozwoju wydane zostało pozwolenie na układanie i utrzymywanie na obszarze wyłącznej strefy ekonomicznej RP podmorskiego rurociągu: gazociągu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do DN 200 oraz gazociągu DN250;</w:t>
            </w:r>
          </w:p>
          <w:p>
            <w:pPr>
              <w:pStyle w:val="Default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 xml:space="preserve">na podstawie decyzji </w:t>
            </w:r>
            <w:r>
              <w:rPr>
                <w:rFonts w:ascii="Times New Roman" w:hAnsi="Times New Roman" w:cs="Times New Roman"/>
                <w:sz w:val="22"/>
              </w:rPr>
              <w:t>Ministra Transportu, Budownictwa i Gospodarki Morskiej wydane zostało pozwolenie na układanie i utrzymywanie na obszarze wyłącznej strefy ekonomicznej RP podmorskiego rurociągu – gazociągu DN 100;</w:t>
            </w:r>
          </w:p>
          <w:p>
            <w:pPr>
              <w:pStyle w:val="Default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podstawie zarządzenia Dyrektora Urzędu Morskiego w Gdyni zakazano kotwiczenia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i rybołówstwa w strefie ochronnej obejmującej pas o szerokości 150 m po obydwu stronach gazociągu podmorskiego wzdłuż całej trasy jego przebiegu;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na podstawie zapisów Rozporządzenia Ministra Środowiska z dnia 3 września 2014 r. w sprawie obszarów, na których dopuszcza się lokalizowanie kompleksu podziemnego składowania dwutlenku węgla, dopuszcza się lokalizowanie kompleksu podziemnego składowania dwutlenku węgla.</w:t>
            </w:r>
          </w:p>
        </w:tc>
      </w:tr>
      <w:tr>
        <w:trPr>
          <w:trHeight w:val="315"/>
        </w:trPr>
        <w:tc>
          <w:tcPr>
            <w:tcW w:w="9510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 inne istotne informacje</w:t>
            </w:r>
          </w:p>
        </w:tc>
      </w:tr>
      <w:tr>
        <w:trPr>
          <w:trHeight w:val="270"/>
        </w:trPr>
        <w:tc>
          <w:tcPr>
            <w:tcW w:w="9510" w:type="dxa"/>
            <w:gridSpan w:val="4"/>
          </w:tcPr>
          <w:p>
            <w:pPr>
              <w:pStyle w:val="TYTTABELItytutabeli"/>
              <w:numPr>
                <w:ilvl w:val="0"/>
                <w:numId w:val="6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rekomEndacje:</w:t>
            </w:r>
          </w:p>
          <w:p>
            <w:pPr>
              <w:widowControl w:val="0"/>
              <w:numPr>
                <w:ilvl w:val="1"/>
                <w:numId w:val="6"/>
              </w:num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brak.</w:t>
            </w:r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21.1pt;height:12.75pt" o:bullet="t">
        <v:imagedata r:id="rId1" o:title=""/>
      </v:shape>
    </w:pict>
  </w:numPicBullet>
  <w:abstractNum w:abstractNumId="0" w15:restartNumberingAfterBreak="0">
    <w:nsid w:val="07EF18FF"/>
    <w:multiLevelType w:val="multilevel"/>
    <w:tmpl w:val="F36CFD8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0B9C2342"/>
    <w:multiLevelType w:val="hybridMultilevel"/>
    <w:tmpl w:val="3536E31E"/>
    <w:lvl w:ilvl="0" w:tplc="7706A3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1923"/>
    <w:multiLevelType w:val="hybridMultilevel"/>
    <w:tmpl w:val="93ACC3FE"/>
    <w:lvl w:ilvl="0" w:tplc="8F4CF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F554DD"/>
    <w:multiLevelType w:val="multilevel"/>
    <w:tmpl w:val="4260A8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3A5462AD"/>
    <w:multiLevelType w:val="multilevel"/>
    <w:tmpl w:val="ACD03B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4A847EDB"/>
    <w:multiLevelType w:val="multilevel"/>
    <w:tmpl w:val="D38073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  <w:sz w:val="22"/>
        <w:szCs w:val="22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62D55F74"/>
    <w:multiLevelType w:val="multilevel"/>
    <w:tmpl w:val="4BA8E4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  <w:strike w:val="0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6AEB754B"/>
    <w:multiLevelType w:val="hybridMultilevel"/>
    <w:tmpl w:val="915C0A8C"/>
    <w:lvl w:ilvl="0" w:tplc="FA0AD4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81F52-31EE-4F2D-A7A4-90A0B876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Pr>
      <w:rFonts w:ascii="Calibri Light" w:eastAsia="Times New Roman" w:hAnsi="Calibri Light" w:cs="Times New Roman"/>
      <w:b/>
      <w:bCs/>
      <w:color w:val="2F5496"/>
      <w:kern w:val="1"/>
      <w:sz w:val="28"/>
      <w:szCs w:val="28"/>
      <w:lang w:val="x-none"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" w:eastAsia="Times New Roman" w:hAnsi="Times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" w:eastAsia="Times New Roman" w:hAnsi="Times" w:cs="Times New Roman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pPr>
      <w:suppressAutoHyphens/>
    </w:pPr>
    <w:rPr>
      <w:rFonts w:ascii="Tahoma" w:hAnsi="Tahoma" w:cs="Tahoma"/>
      <w:kern w:val="1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kern w:val="1"/>
      <w:sz w:val="16"/>
      <w:szCs w:val="16"/>
      <w:lang w:val="x-none"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styleId="Bezodstpw">
    <w:name w:val="No Spacing"/>
    <w:uiPriority w:val="99"/>
    <w:qFormat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Pr>
      <w:rFonts w:ascii="Times" w:hAnsi="Times"/>
      <w:sz w:val="24"/>
      <w:szCs w:val="24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val="x-none"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rFonts w:ascii="Times" w:hAnsi="Times"/>
      <w:sz w:val="24"/>
      <w:szCs w:val="24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" w:eastAsia="Times New Roman" w:hAnsi="Times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val="x-none"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qFormat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uiPriority w:val="2"/>
    <w:qFormat/>
    <w:rPr>
      <w:rFonts w:cs="Times New Roman"/>
      <w:spacing w:val="0"/>
      <w:vertAlign w:val="superscript"/>
    </w:rPr>
  </w:style>
  <w:style w:type="character" w:customStyle="1" w:styleId="IDindeksdolny">
    <w:name w:val="_ID_ – indeks dolny"/>
    <w:uiPriority w:val="3"/>
    <w:qFormat/>
    <w:rPr>
      <w:rFonts w:cs="Times New Roman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Pr>
      <w:rFonts w:cs="Times New Roman"/>
      <w:b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Pr>
      <w:rFonts w:cs="Times New Roman"/>
      <w:i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Pr>
      <w:rFonts w:cs="Times New Roman"/>
      <w:b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Pr>
      <w:rFonts w:cs="Times New Roman"/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Pr>
      <w:rFonts w:cs="Times New Roman"/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Pr>
      <w:rFonts w:cs="Times New Roman"/>
      <w:b/>
      <w:i/>
      <w:spacing w:val="0"/>
      <w:vertAlign w:val="subscript"/>
    </w:rPr>
  </w:style>
  <w:style w:type="character" w:customStyle="1" w:styleId="Ppogrubienie">
    <w:name w:val="_P_ – pogrubienie"/>
    <w:uiPriority w:val="1"/>
    <w:qFormat/>
    <w:rPr>
      <w:rFonts w:cs="Times New Roman"/>
      <w:b/>
    </w:rPr>
  </w:style>
  <w:style w:type="character" w:customStyle="1" w:styleId="Kkursywa">
    <w:name w:val="_K_ – kursywa"/>
    <w:uiPriority w:val="1"/>
    <w:qFormat/>
    <w:rPr>
      <w:rFonts w:cs="Times New Roman"/>
      <w:i/>
    </w:rPr>
  </w:style>
  <w:style w:type="character" w:customStyle="1" w:styleId="PKpogrubieniekursywa">
    <w:name w:val="_P_K_ – pogrubienie kursywa"/>
    <w:uiPriority w:val="1"/>
    <w:qFormat/>
    <w:rPr>
      <w:rFonts w:cs="Times New Roman"/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Pr>
      <w:rFonts w:cs="Times New Roman"/>
      <w:color w:val="FF0000"/>
      <w:u w:val="single" w:color="FF0000"/>
    </w:rPr>
  </w:style>
  <w:style w:type="character" w:customStyle="1" w:styleId="BEZWERSALIKW">
    <w:name w:val="_BEZ_WERSALIKÓW_"/>
    <w:uiPriority w:val="4"/>
    <w:qFormat/>
    <w:rPr>
      <w:rFonts w:cs="Times New Roman"/>
      <w:caps/>
    </w:rPr>
  </w:style>
  <w:style w:type="character" w:customStyle="1" w:styleId="IIGPindeksgrnyindeksugrnegoipogrubienie">
    <w:name w:val="_IIG_P_ – indeks górny indeksu górnego i pogrubienie"/>
    <w:uiPriority w:val="3"/>
    <w:qFormat/>
    <w:rPr>
      <w:rFonts w:cs="Times New Roman"/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rFonts w:cs="Times New Roman"/>
      <w:b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uiPriority w:val="59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Pr>
      <w:rFonts w:cs="Times New Roman"/>
      <w:color w:val="80808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pPr>
      <w:spacing w:before="120" w:line="240" w:lineRule="auto"/>
      <w:ind w:firstLine="210"/>
      <w:jc w:val="both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Pr>
      <w:i/>
    </w:rPr>
  </w:style>
  <w:style w:type="character" w:styleId="Hipercze">
    <w:name w:val="Hyperlink"/>
    <w:uiPriority w:val="99"/>
    <w:semiHidden/>
    <w:unhideWhenUsed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</w:style>
  <w:style w:type="paragraph" w:customStyle="1" w:styleId="xl67">
    <w:name w:val="xl67"/>
    <w:basedOn w:val="Normalny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hUwtext">
    <w:name w:val="ChUw text"/>
    <w:basedOn w:val="Normalny"/>
    <w:link w:val="ChUwtextZnak"/>
    <w:qFormat/>
    <w:pPr>
      <w:widowControl w:val="0"/>
      <w:autoSpaceDE w:val="0"/>
      <w:autoSpaceDN w:val="0"/>
      <w:adjustRightInd w:val="0"/>
      <w:spacing w:before="120"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hUwtextZnak">
    <w:name w:val="ChUw text Znak"/>
    <w:link w:val="ChUwtext"/>
    <w:locked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h2">
    <w:name w:val="h2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TML-staaszeroko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Matczak</dc:creator>
  <cp:keywords/>
  <dc:description/>
  <cp:lastModifiedBy>Magdalena Matczak</cp:lastModifiedBy>
  <cp:revision>2</cp:revision>
  <dcterms:created xsi:type="dcterms:W3CDTF">2019-05-29T06:24:00Z</dcterms:created>
  <dcterms:modified xsi:type="dcterms:W3CDTF">2019-05-29T06:36:00Z</dcterms:modified>
</cp:coreProperties>
</file>