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45. Ustala się rozstrzygnięcia szczegółowe dla akwenu POM.45.E, określone w karcie akwenu.</w:t>
      </w:r>
    </w:p>
    <w:tbl>
      <w:tblPr>
        <w:tblpPr w:leftFromText="142" w:rightFromText="142" w:vertAnchor="text" w:horzAnchor="margin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07"/>
        <w:gridCol w:w="1894"/>
        <w:gridCol w:w="2131"/>
        <w:gridCol w:w="3573"/>
      </w:tblGrid>
      <w:tr>
        <w:trPr>
          <w:trHeight w:val="600"/>
        </w:trPr>
        <w:tc>
          <w:tcPr>
            <w:tcW w:w="6232" w:type="dxa"/>
            <w:gridSpan w:val="3"/>
            <w:vMerge w:val="restart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akwenu</w:t>
            </w:r>
          </w:p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POM.45.E</w:t>
            </w:r>
          </w:p>
        </w:tc>
        <w:tc>
          <w:tcPr>
            <w:tcW w:w="3573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oznaczenie literowe</w:t>
            </w:r>
          </w:p>
        </w:tc>
      </w:tr>
      <w:tr>
        <w:trPr>
          <w:trHeight w:val="510"/>
        </w:trPr>
        <w:tc>
          <w:tcPr>
            <w:tcW w:w="6232" w:type="dxa"/>
            <w:gridSpan w:val="3"/>
            <w:vMerge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>
        <w:trPr>
          <w:trHeight w:val="2695"/>
        </w:trPr>
        <w:tc>
          <w:tcPr>
            <w:tcW w:w="2207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numer akwenu</w:t>
            </w:r>
          </w:p>
        </w:tc>
        <w:tc>
          <w:tcPr>
            <w:tcW w:w="1894" w:type="dxa"/>
          </w:tcPr>
          <w:p>
            <w:pPr>
              <w:pStyle w:val="TYTTABELItytutabeli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2131" w:type="dxa"/>
            <w:vMerge w:val="restart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opis położenia</w:t>
            </w:r>
          </w:p>
        </w:tc>
        <w:tc>
          <w:tcPr>
            <w:tcW w:w="3573" w:type="dxa"/>
            <w:vMerge w:val="restart"/>
          </w:tcPr>
          <w:tbl>
            <w:tblPr>
              <w:tblW w:w="3378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557"/>
              <w:gridCol w:w="1501"/>
            </w:tblGrid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6' 49.128"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16' 37.664"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3' 34.151"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23' 2.597"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6' 39.130"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40' 30.000"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54° 59' 55.606"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40' 30.000"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54° 56' 42.424"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16' 57.430"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2' 36.132"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14' 0.494"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54° 59' 23.166"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4' 54.964"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0' 32.760"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16° 58' 34.703"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2' 7.171"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16° 50' 52.962"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7' 6.223"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16° 44' 36.985"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7' 7.490" N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16° 57' 13.274" E</w:t>
                  </w:r>
                </w:p>
              </w:tc>
            </w:tr>
          </w:tbl>
          <w:p>
            <w:pPr>
              <w:pStyle w:val="TYTTABELItytutabeli"/>
              <w:spacing w:line="240" w:lineRule="auto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t xml:space="preserve">pełny wykaz współrzędnych znajduje się </w:t>
            </w: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br/>
              <w:t xml:space="preserve">w </w:t>
            </w:r>
            <w:r>
              <w:rPr>
                <w:b w:val="0"/>
                <w:caps w:val="0"/>
                <w:sz w:val="18"/>
              </w:rPr>
              <w:t xml:space="preserve">§ 14.45 </w:t>
            </w: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t>Załącznika nr 1 – Ustalenia ogólne</w:t>
            </w:r>
          </w:p>
        </w:tc>
      </w:tr>
      <w:tr>
        <w:trPr>
          <w:trHeight w:val="1244"/>
        </w:trPr>
        <w:tc>
          <w:tcPr>
            <w:tcW w:w="2207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pole powierzchni</w:t>
            </w:r>
          </w:p>
        </w:tc>
        <w:tc>
          <w:tcPr>
            <w:tcW w:w="1894" w:type="dxa"/>
          </w:tcPr>
          <w:p>
            <w:pPr>
              <w:pStyle w:val="TYTTABELItytutabeli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698,95 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km</w:t>
            </w:r>
            <w:r>
              <w:rPr>
                <w:rFonts w:ascii="Times New Roman" w:hAnsi="Times New Roman" w:cs="Times New Roman"/>
                <w:b w:val="0"/>
                <w:caps w:val="0"/>
                <w:vertAlign w:val="superscript"/>
              </w:rPr>
              <w:t>2</w:t>
            </w:r>
          </w:p>
        </w:tc>
        <w:tc>
          <w:tcPr>
            <w:tcW w:w="2131" w:type="dxa"/>
            <w:vMerge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80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funkcja podstawowa</w:t>
            </w:r>
          </w:p>
        </w:tc>
      </w:tr>
      <w:tr>
        <w:trPr>
          <w:trHeight w:val="405"/>
        </w:trPr>
        <w:tc>
          <w:tcPr>
            <w:tcW w:w="9805" w:type="dxa"/>
            <w:gridSpan w:val="4"/>
          </w:tcPr>
          <w:p>
            <w:pPr>
              <w:pStyle w:val="TYTTABELItytutabeli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pozyskiwanie energii odnawialnej (E)</w:t>
            </w:r>
          </w:p>
        </w:tc>
      </w:tr>
      <w:tr>
        <w:trPr>
          <w:trHeight w:val="465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funkcje dopuszczalne</w:t>
            </w:r>
          </w:p>
        </w:tc>
      </w:tr>
      <w:tr>
        <w:trPr>
          <w:trHeight w:val="405"/>
        </w:trPr>
        <w:tc>
          <w:tcPr>
            <w:tcW w:w="9805" w:type="dxa"/>
            <w:gridSpan w:val="4"/>
          </w:tcPr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akwakultura (A);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badania naukowe (N);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dziedzictwo kulturowe (D);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infrastruktura techniczna (I);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4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</w:rPr>
              <w:t>poszukiwani</w:t>
            </w:r>
            <w:r>
              <w:rPr>
                <w:rFonts w:ascii="Times New Roman" w:hAnsi="Times New Roman"/>
                <w:sz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</w:rPr>
              <w:t xml:space="preserve"> i rozpoznawani</w:t>
            </w:r>
            <w:r>
              <w:rPr>
                <w:rFonts w:ascii="Times New Roman" w:hAnsi="Times New Roman"/>
                <w:sz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</w:rPr>
              <w:t xml:space="preserve"> złóż kopalin oraz wydobywani</w:t>
            </w:r>
            <w:r>
              <w:rPr>
                <w:rFonts w:ascii="Times New Roman" w:hAnsi="Times New Roman"/>
                <w:sz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</w:rPr>
              <w:t xml:space="preserve"> kopalin ze złóż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 (K);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rybołówstwo (R);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sztuczne wyspy i konstrukcje (W);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transport (T);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turystyka, sport i rekreacja (S).</w:t>
            </w:r>
          </w:p>
        </w:tc>
      </w:tr>
      <w:tr>
        <w:trPr>
          <w:trHeight w:val="510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zakazy LUB ograniczenia W korzystaniu z Poszczególnych obszarów </w:t>
            </w:r>
          </w:p>
        </w:tc>
      </w:tr>
      <w:tr>
        <w:trPr>
          <w:trHeight w:val="555"/>
        </w:trPr>
        <w:tc>
          <w:tcPr>
            <w:tcW w:w="9805" w:type="dxa"/>
            <w:gridSpan w:val="4"/>
          </w:tcPr>
          <w:p>
            <w:pPr>
              <w:pStyle w:val="TEKSTwTABELIWYRODKOWANYtekstwyrodkowanywpoziomi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akwakultury:</w:t>
            </w:r>
          </w:p>
          <w:p>
            <w:pPr>
              <w:pStyle w:val="Default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całym akwenie ogranicza się realizację funkcji do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przedsięwzięć uzgodnionych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z właściwym inwestorem morskich farm wiatrowych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badań naukowych:</w:t>
            </w:r>
          </w:p>
          <w:p>
            <w:pPr>
              <w:pStyle w:val="TYTTABELItytutabeli"/>
              <w:numPr>
                <w:ilvl w:val="1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lastRenderedPageBreak/>
              <w:t>w całym akwenie ogranicza się prowadzenie badań naukowych do sposobów:</w:t>
            </w:r>
          </w:p>
          <w:p>
            <w:pPr>
              <w:pStyle w:val="TYTTABELItytutabeli"/>
              <w:numPr>
                <w:ilvl w:val="2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nienaruszających elementów liniowych infrastruktury technicznej;</w:t>
            </w:r>
          </w:p>
          <w:p>
            <w:pPr>
              <w:pStyle w:val="TYTTABELItytutabeli"/>
              <w:numPr>
                <w:ilvl w:val="2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dziedzictwa kulturowego:</w:t>
            </w:r>
          </w:p>
          <w:p>
            <w:pPr>
              <w:pStyle w:val="Default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 ustala się;</w:t>
            </w:r>
          </w:p>
          <w:p>
            <w:pPr>
              <w:pStyle w:val="Default"/>
              <w:numPr>
                <w:ilvl w:val="0"/>
                <w:numId w:val="2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infrastruktury technicznej:</w:t>
            </w:r>
          </w:p>
          <w:p>
            <w:pPr>
              <w:pStyle w:val="TYTTABELItytutabeli"/>
              <w:numPr>
                <w:ilvl w:val="1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akwenie:</w:t>
            </w:r>
          </w:p>
          <w:p>
            <w:pPr>
              <w:pStyle w:val="TYTTABELItytutabeli"/>
              <w:numPr>
                <w:ilvl w:val="2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ogranicza się realizację funkcji:</w:t>
            </w:r>
          </w:p>
          <w:p>
            <w:pPr>
              <w:pStyle w:val="Default"/>
              <w:numPr>
                <w:ilvl w:val="3"/>
                <w:numId w:val="2"/>
              </w:numPr>
              <w:spacing w:after="120" w:line="276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infrastruktury niezbędnej do realizacji funkcji pozyskiwania energii; </w:t>
            </w:r>
          </w:p>
          <w:p>
            <w:pPr>
              <w:pStyle w:val="TYTTABELItytutabeli"/>
              <w:numPr>
                <w:ilvl w:val="3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do sposobów 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2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wymaga się układania elementów liniowych infrastruktury technicznej w sposób zapewniający oszczędne korzystanie z przestrzeni, pod powierzchnią dna morskiego, a jeśli jest to niemożliwe z przyczyn środowiskowych czy technologicznych, należy stosować inne zabezpieczenia trwałe, umożliwiające bezpieczne używanie sieci stawnych kotwiczonych;</w:t>
            </w:r>
          </w:p>
          <w:p>
            <w:pPr>
              <w:pStyle w:val="TEKSTwTABELIWYRODKOWANYtekstwyrodkowanywpoziomi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poszukiwania i rozpoznawania złóż kopalin oraz wydobywania kopalin ze złóż:</w:t>
            </w:r>
          </w:p>
          <w:p>
            <w:pPr>
              <w:pStyle w:val="TYTTABELItytutabeli"/>
              <w:numPr>
                <w:ilvl w:val="1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 realizację funkcji do sposobów:</w:t>
            </w:r>
          </w:p>
          <w:p>
            <w:pPr>
              <w:pStyle w:val="TYTTABELItytutabeli"/>
              <w:numPr>
                <w:ilvl w:val="2"/>
                <w:numId w:val="2"/>
              </w:numPr>
              <w:spacing w:before="0" w:after="120" w:line="276" w:lineRule="auto"/>
              <w:jc w:val="left"/>
              <w:rPr>
                <w:rStyle w:val="Ppogrubienie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nienaruszających elementów liniowych infrastruktury technicznej;</w:t>
            </w:r>
          </w:p>
          <w:p>
            <w:pPr>
              <w:pStyle w:val="TEKSTwTABELIWYRODKOWANYtekstwyrodkowanywpoziomie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niezagrażających skuteczności tarła i podchowu narybku ryb komercyjnych i uwzględniających konieczność zabezpieczenia funkcjonowania tarlisk ryb</w:t>
            </w:r>
          </w:p>
          <w:p>
            <w:pPr>
              <w:pStyle w:val="Akapitzlist"/>
              <w:numPr>
                <w:ilvl w:val="1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całym akwenie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ogranicza się wydobycie kopalin ze złóż do przedsięwzięć uzgodnionych z właściwym inwestorem morskich farm wiatrowych;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rybołówstwa:</w:t>
            </w:r>
          </w:p>
          <w:p>
            <w:pPr>
              <w:pStyle w:val="TEKSTwTABELIWYRODKOWANYtekstwyrodkowanywpoziomi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ustala się do czasu rozpoczęcia wznoszenia morskich elektrowni wiatrowych;</w:t>
            </w:r>
          </w:p>
          <w:p>
            <w:pPr>
              <w:pStyle w:val="TEKSTwTABELIWYRODKOWANYtekstwyrodkowanywpoziomi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eksploatacji morskich elektrowni wiatrowych, do czasu wypracowania zasad prowadzenia rybołówstwa w akwenie, zakazuje się uprawiania rybołówstwa w strefach bezpieczeństwa każdej konstrukcji oraz w miejscach zagrażających bezpieczeństwu wewnętrznej infrastruktury przyłączeniowej;</w:t>
            </w:r>
          </w:p>
          <w:p>
            <w:pPr>
              <w:pStyle w:val="Default"/>
              <w:numPr>
                <w:ilvl w:val="0"/>
                <w:numId w:val="2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Hlk530397687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sztucznych wysp i konstrukcji:</w:t>
            </w:r>
          </w:p>
          <w:p>
            <w:pPr>
              <w:pStyle w:val="TEKSTwTABELIWYRODKOWANYtekstwyrodkowanywpoziomi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całym akwenie zakazuje się posadawiania sztucznych wysp, konstrukcji i urządzeń służących do wydobywania węglowodorów;</w:t>
            </w:r>
          </w:p>
          <w:p>
            <w:pPr>
              <w:pStyle w:val="TYTTABELItytutabeli"/>
              <w:numPr>
                <w:ilvl w:val="1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się:</w:t>
            </w:r>
          </w:p>
          <w:p>
            <w:pPr>
              <w:pStyle w:val="TYTTABELItytutabeli"/>
              <w:numPr>
                <w:ilvl w:val="2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wznoszenie sztucznych wysp, konstrukcji i urządzeń do sposobów niezagrażających skuteczności tarła i podchowu narybku ryb komercyjnych i uwzględniających konieczność zabezpieczenia funkcjonowania tarlisk ryb;</w:t>
            </w:r>
          </w:p>
          <w:p>
            <w:pPr>
              <w:pStyle w:val="TEKSTwTABELIWYRODKOWANYtekstwyrodkowanywpoziomie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wznoszenie konstrukcji na potrzeby akwakultury do miejsc nienaruszających elementów liniowych infrastruktury technicznej;</w:t>
            </w:r>
          </w:p>
          <w:bookmarkEnd w:id="0"/>
          <w:p>
            <w:pPr>
              <w:pStyle w:val="TYTTABELItytutabeli"/>
              <w:numPr>
                <w:ilvl w:val="1"/>
                <w:numId w:val="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podakwenie 45.201.I ogranicza się wznoszenie konstrukcji i urządzeń budowy stacji elektroenergetycznych będących elementami sieci przesyłowej;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transportu:</w:t>
            </w:r>
          </w:p>
          <w:p>
            <w:pPr>
              <w:pStyle w:val="TEKSTwTABELIWYRODKOWANYtekstwyrodkowanywpoziomi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ustala się do czasu rozpoczęcia wznoszenia morskich elektrowni wiatrowych;</w:t>
            </w:r>
          </w:p>
          <w:p>
            <w:pPr>
              <w:pStyle w:val="TEKSTwTABELIWYRODKOWANYtekstwyrodkowanywpoziomi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trakcie eksploatacji morskich elektrowni wiatrowych ogranicza się żeglugę do jednostek </w:t>
            </w:r>
            <w:r>
              <w:rPr>
                <w:rFonts w:ascii="Times New Roman" w:hAnsi="Times New Roman"/>
              </w:rPr>
              <w:br/>
              <w:t>o długości poniżej 50 m do czasu ustanowienia warunków bezpieczeństwa żeglugi decyzją właściwego terytorialnie dyrektora urzędu morskiego, z wyjątkiem żeglugi jednostek związanych z obsługą oraz konserwacją konstrukcji i urządzeń morskich farm wiatrowych oraz akwakultury;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turystyki, sportu i rekreacji:</w:t>
            </w:r>
          </w:p>
          <w:p>
            <w:pPr>
              <w:pStyle w:val="Default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 ustala się;</w:t>
            </w:r>
          </w:p>
          <w:p>
            <w:pPr>
              <w:pStyle w:val="TEKSTwTABELIWYRODKOWANYtekstwyrodkowanywpoziomi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inne:</w:t>
            </w:r>
          </w:p>
          <w:p>
            <w:pPr>
              <w:pStyle w:val="TEKSTwTABELIWYRODKOWANYtekstwyrodkowanywpoziomi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ułożeniu elementów liniowych infrastruktury technicznej wymaga się ustanowienia wokół nich strefy bezpieczeństwa, w której będzie obowiązywać zakaz kotwiczenia, z wyłączeniem kotwiczenia awaryjnego oraz związanego </w:t>
            </w:r>
            <w:r>
              <w:rPr>
                <w:rFonts w:ascii="Times New Roman" w:hAnsi="Times New Roman"/>
              </w:rPr>
              <w:br/>
              <w:t>z pracami instalacyjnymi i serwisowymi.</w:t>
            </w:r>
          </w:p>
        </w:tc>
      </w:tr>
      <w:tr>
        <w:trPr>
          <w:trHeight w:val="585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inwestycje celu publicznego</w:t>
            </w:r>
          </w:p>
        </w:tc>
      </w:tr>
      <w:tr>
        <w:trPr>
          <w:trHeight w:val="465"/>
        </w:trPr>
        <w:tc>
          <w:tcPr>
            <w:tcW w:w="9805" w:type="dxa"/>
            <w:gridSpan w:val="4"/>
          </w:tcPr>
          <w:p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wyznacza się podakwen 45.201.I przeznaczony na układanie i utrzymywanie elementów liniowych infrastruktury technicznej – w tym zewnętrznej infrastruktury przyłączeniowej morskich farm wiatrowych oraz planowanego połączenia stałoprądowego pomiędzy Polską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a Litwą</w:t>
            </w:r>
            <w:r>
              <w:rPr>
                <w:rFonts w:ascii="Times New Roman" w:hAnsi="Times New Roman"/>
                <w:sz w:val="22"/>
                <w:lang w:val="pl-PL"/>
              </w:rPr>
              <w:t>;</w:t>
            </w:r>
            <w:r>
              <w:rPr>
                <w:rFonts w:ascii="Times New Roman" w:hAnsi="Times New Roman"/>
                <w:b/>
                <w:caps/>
                <w:sz w:val="22"/>
                <w:lang w:val="pl-PL"/>
              </w:rPr>
              <w:t xml:space="preserve"> </w:t>
            </w:r>
          </w:p>
          <w:p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planowana inwestycja polegająca na ułożeniu kabla podmorskiego i utworzeniu połączenia stałoprądowego pomiędzy Polską a Litwą </w:t>
            </w: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  <w:lang w:val="pl-PL"/>
              </w:rPr>
              <w:t>o</w:t>
            </w:r>
            <w:r>
              <w:rPr>
                <w:rFonts w:ascii="Times New Roman" w:hAnsi="Times New Roman"/>
                <w:sz w:val="22"/>
              </w:rPr>
              <w:t>z</w:t>
            </w:r>
            <w:r>
              <w:rPr>
                <w:rFonts w:ascii="Times New Roman" w:hAnsi="Times New Roman"/>
                <w:sz w:val="22"/>
                <w:lang w:val="pl-PL"/>
              </w:rPr>
              <w:t>a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pl-PL"/>
              </w:rPr>
              <w:t>w</w:t>
            </w:r>
            <w:proofErr w:type="spellStart"/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  <w:lang w:val="pl-PL"/>
              </w:rPr>
              <w:t>z</w:t>
            </w:r>
            <w:r>
              <w:rPr>
                <w:rFonts w:ascii="Times New Roman" w:hAnsi="Times New Roman"/>
                <w:sz w:val="22"/>
              </w:rPr>
              <w:t>nac</w:t>
            </w:r>
            <w:r>
              <w:rPr>
                <w:rFonts w:ascii="Times New Roman" w:hAnsi="Times New Roman"/>
                <w:sz w:val="22"/>
                <w:lang w:val="pl-PL"/>
              </w:rPr>
              <w:t>zon</w:t>
            </w:r>
            <w:r>
              <w:rPr>
                <w:rFonts w:ascii="Times New Roman" w:hAnsi="Times New Roman"/>
                <w:sz w:val="22"/>
              </w:rPr>
              <w:t>ym</w:t>
            </w:r>
            <w:r>
              <w:rPr>
                <w:rFonts w:ascii="Times New Roman" w:hAnsi="Times New Roman"/>
                <w:sz w:val="22"/>
                <w:lang w:val="pl-PL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  <w:lang w:val="pl-PL"/>
              </w:rPr>
              <w:t>od</w:t>
            </w:r>
            <w:proofErr w:type="spellStart"/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  <w:lang w:val="pl-PL"/>
              </w:rPr>
              <w:t>k</w:t>
            </w:r>
            <w:proofErr w:type="spellEnd"/>
            <w:r>
              <w:rPr>
                <w:rFonts w:ascii="Times New Roman" w:hAnsi="Times New Roman"/>
                <w:sz w:val="22"/>
              </w:rPr>
              <w:t>w</w:t>
            </w:r>
            <w:r>
              <w:rPr>
                <w:rFonts w:ascii="Times New Roman" w:hAnsi="Times New Roman"/>
                <w:sz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  <w:lang w:val="pl-PL"/>
              </w:rPr>
              <w:t>am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>
        <w:trPr>
          <w:trHeight w:val="285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warunki korzystania z akwenu</w:t>
            </w:r>
          </w:p>
        </w:tc>
      </w:tr>
      <w:tr>
        <w:trPr>
          <w:trHeight w:val="285"/>
        </w:trPr>
        <w:tc>
          <w:tcPr>
            <w:tcW w:w="9805" w:type="dxa"/>
            <w:gridSpan w:val="4"/>
          </w:tcPr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środowiska: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obronność i bezpieczeństwo państwa: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dziedzictwa kulturowego: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rybołówstwo i akwakultura: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 etapie wydawania decyzji administracyjnej umożliwiającej realizację akwakultury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akwenie powinno nastąpić uzgodnienie z właściwym inwestorem morskiej farmy wiatrowej. Szczegółowa lokalizacja i rozwiązania technologiczne 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>i techniczne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powinny zostać wskazane na etapie projektu budowlanego;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w trakcie eksploatacji wymaga się wprowadzenia decyzją właściwego terytorialnie dyrektora urzędu morskiego ograniczeń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uprawiania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rybołówstwa w strefach bezpieczeństwa ustalonych dla każdego przedsięwzięcia;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pozyskiwanie energii odnawialnej:</w:t>
            </w:r>
          </w:p>
          <w:p>
            <w:pPr>
              <w:pStyle w:val="Default"/>
              <w:numPr>
                <w:ilvl w:val="1"/>
                <w:numId w:val="8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obszar przeznaczony na pozyskiwanie energii z wiatru za pomocą morskich elektrowni wiatrowych. Integralnymi elementami przedsięwzięcia są wewnętrzna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 zewnętrzna infrastruktura techniczna; </w:t>
            </w:r>
          </w:p>
          <w:p>
            <w:pPr>
              <w:pStyle w:val="TEKSTwTABELIWYRODKOWANYtekstwyrodkowanywpoziomi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momencie rozpoczęcia inwestycji wznoszenia sztucznych wysp i konstrukcji wymaga się wprowadzenia decyzją właściwego terytorialnie dyrektora urzędu morskiego zakazu uprawiania rybołówstwa i żeglugi w akwenie zajętym pod budowę, wraz </w:t>
            </w:r>
            <w:r>
              <w:rPr>
                <w:rFonts w:ascii="Times New Roman" w:hAnsi="Times New Roman"/>
              </w:rPr>
              <w:br/>
              <w:t>z 500-metrową strefą bezpieczeństwa wokół akwenu, na czas budowy;</w:t>
            </w:r>
          </w:p>
          <w:p>
            <w:pPr>
              <w:pStyle w:val="Default"/>
              <w:numPr>
                <w:ilvl w:val="1"/>
                <w:numId w:val="8"/>
              </w:numPr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trakcie eksploatacji morskich elektrowni wiatrowych wymaga się wprowadzenia decyzją właściwego terytorialnie dyrektora urzędu morskiego ograniczeń uprawiania rybołówstwa i żeglugi w strefach bezpieczeństwa ustalonych dla każdej konstrukcji oraz w miejscach zagrażających bezpieczeństwu wewnętrznej infrastruktury technicznej;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poszukiwanie, rozpoznawanie złóż kopalin oraz wydobywanie kopalin ze złóż:</w:t>
            </w:r>
          </w:p>
          <w:p>
            <w:pPr>
              <w:numPr>
                <w:ilvl w:val="1"/>
                <w:numId w:val="8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 się poszukiwanie, rozpoznawanie złóż kopalin w całym akwenie;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dopuszcza się wydobywanie kopalin ze złóż zgodnie z ograniczeniami w ust 7 pkt 5 i 7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>
        <w:trPr>
          <w:trHeight w:val="525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ustalenia wiążące samorządy województw oraz gminy</w:t>
            </w:r>
          </w:p>
        </w:tc>
      </w:tr>
      <w:tr>
        <w:trPr>
          <w:trHeight w:val="315"/>
        </w:trPr>
        <w:tc>
          <w:tcPr>
            <w:tcW w:w="9805" w:type="dxa"/>
            <w:gridSpan w:val="4"/>
          </w:tcPr>
          <w:p>
            <w:pPr>
              <w:pStyle w:val="Akapitzlist"/>
              <w:numPr>
                <w:ilvl w:val="0"/>
                <w:numId w:val="6"/>
              </w:numPr>
              <w:spacing w:after="120"/>
              <w:contextualSpacing w:val="0"/>
              <w:rPr>
                <w:rFonts w:ascii="Times New Roman" w:hAnsi="Times New Roman"/>
                <w:b/>
                <w:cap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się.</w:t>
            </w:r>
          </w:p>
        </w:tc>
      </w:tr>
      <w:tr>
        <w:trPr>
          <w:trHeight w:val="330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Style w:val="IDindeksdolny"/>
                <w:rFonts w:ascii="Times New Roman" w:hAnsi="Times New Roman"/>
              </w:rPr>
            </w:pPr>
            <w:r>
              <w:rPr>
                <w:rStyle w:val="IDindeksdolny"/>
                <w:rFonts w:ascii="Times New Roman" w:hAnsi="Times New Roman"/>
              </w:rPr>
              <w:t>uwarunkowania</w:t>
            </w:r>
          </w:p>
        </w:tc>
      </w:tr>
      <w:tr>
        <w:trPr>
          <w:trHeight w:val="300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zasady korzystania z akwenu</w:t>
            </w:r>
          </w:p>
          <w:p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(wynikające z dokumentów lub aktów normatywnych)</w:t>
            </w:r>
          </w:p>
        </w:tc>
      </w:tr>
      <w:tr>
        <w:trPr>
          <w:trHeight w:val="255"/>
        </w:trPr>
        <w:tc>
          <w:tcPr>
            <w:tcW w:w="9805" w:type="dxa"/>
            <w:gridSpan w:val="4"/>
          </w:tcPr>
          <w:p>
            <w:pPr>
              <w:pStyle w:val="OZNPROJEKTUwskazaniedatylubwersjiprojektu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formy ochrony przyrody i ich otulin oraz ustalenia planów ochrony, o których mowa w przepisach </w:t>
            </w:r>
            <w:r>
              <w:rPr>
                <w:rFonts w:cs="Times New Roman"/>
                <w:sz w:val="22"/>
                <w:szCs w:val="22"/>
                <w:u w:val="none"/>
              </w:rPr>
              <w:br/>
              <w:t>o ochronie przyrody:</w:t>
            </w:r>
          </w:p>
          <w:p>
            <w:pPr>
              <w:pStyle w:val="Akapitzlist"/>
              <w:numPr>
                <w:ilvl w:val="1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OZNPROJEKTUwskazaniedatylubwersjiprojektu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obiekty i akweny chronione ustanowione na podstawie przepisów o ochronie zabytków i opiece nad zabytkami:</w:t>
            </w:r>
          </w:p>
          <w:p>
            <w:pPr>
              <w:pStyle w:val="Akapitzlist"/>
              <w:numPr>
                <w:ilvl w:val="1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zlokalizowane jest podwodne dziedzictwo kulturowe;</w:t>
            </w:r>
          </w:p>
          <w:p>
            <w:pPr>
              <w:pStyle w:val="OZNPROJEKTUwskazaniedatylubwersjiprojektu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obiekty i strefy chronione ustanowione na podstawie przepisów o ochronie środowiska:</w:t>
            </w:r>
          </w:p>
          <w:p>
            <w:pPr>
              <w:pStyle w:val="Akapitzlist"/>
              <w:numPr>
                <w:ilvl w:val="1"/>
                <w:numId w:val="7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strefy zamknięte dla żeglugi i rybołówstwa oraz ogłaszane okresowo strefy niebezpieczne dla żeglugi i rybołówstwa, ustanawiane na podstawie ds. 3 ust. 1 ustawy o obszarach morskich Rzeczypospolitej Polskiej i administracji morskiej:</w:t>
            </w:r>
          </w:p>
          <w:p>
            <w:pPr>
              <w:pStyle w:val="Akapitzlist"/>
              <w:numPr>
                <w:ilvl w:val="1"/>
                <w:numId w:val="7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OZNPROJEKTUwskazaniedatylubwersjiprojektu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ochrona żywych zasobów morza na podstawie przepisów o rybołówstwie morskim:</w:t>
            </w:r>
          </w:p>
          <w:p>
            <w:pPr>
              <w:pStyle w:val="Akapitzlist"/>
              <w:numPr>
                <w:ilvl w:val="1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w akwenie obowiązują zasady, zakazy i ograniczenia obowiązujące rybołówstwo;</w:t>
            </w:r>
          </w:p>
          <w:p>
            <w:pPr>
              <w:pStyle w:val="OZNPROJEKTUwskazaniedatylubwersjiprojektu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działania realizowane w ramach Krajowego programu ochrony wód morskich:</w:t>
            </w:r>
          </w:p>
          <w:p>
            <w:pPr>
              <w:pStyle w:val="Akapitzlist"/>
              <w:numPr>
                <w:ilvl w:val="1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obowiązują działania opisane w Krajowym programie ochrony wód morskich.</w:t>
            </w:r>
          </w:p>
        </w:tc>
      </w:tr>
      <w:tr>
        <w:trPr>
          <w:trHeight w:val="240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 szczególnie istotne uwarunkowania dotyczące akwenu</w:t>
            </w:r>
          </w:p>
        </w:tc>
      </w:tr>
      <w:tr>
        <w:trPr>
          <w:trHeight w:val="210"/>
        </w:trPr>
        <w:tc>
          <w:tcPr>
            <w:tcW w:w="9805" w:type="dxa"/>
            <w:gridSpan w:val="4"/>
          </w:tcPr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na podstawie przepisów ustawy z dnia 21 marca 1991 r. o obszarach morskich Rzeczypospolitej Polskiej i administracji morskiej akwen jest położony w terytorialnym zakresie działania Dyrektora Urzędu Morskiego w Słupsku, na obszarze wyłącznej strefy ekonomicznej RP;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/>
              <w:ind w:left="64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akwen jest wykorzystywany do żeglugi i transportu morskiego;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/>
              <w:ind w:left="64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akwen jest wykorzystywany do rybołówstwa z użyciem narzędzi stawnych (w części środkowej oraz wschodniej), z użyciem narzędzi ciągnionych (w części zachodniej oraz środkowej) oraz jako główna trasa na łowisko Rynny Słupskiej (w części środkowej);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/>
              <w:ind w:left="64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akwenie istnieją dobre warunki do skutecznego tarła śledzia jesiennego oraz – na obszarze graniczącym z Ławicą Słupską –śledzia wiosennego;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/>
              <w:ind w:left="64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akwenie są prowadzone badania naukowe w ramach programów monitoringowych;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akwen jest wykorzystywany </w:t>
            </w:r>
            <w:r>
              <w:rPr>
                <w:sz w:val="22"/>
                <w:szCs w:val="22"/>
                <w:u w:val="none"/>
              </w:rPr>
              <w:t>do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żeglarstwa rekreacyjnego oraz turystyki wrakowej (w akwenie znajdują się wraki udostępnione do nurkowania);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na podstawie decyzji Ministra Transportu, Budownictwa i Gospodarki Morskiej wydane zostało pozwolenie na wznoszenie i wykorzystywanie sztucznych wysp, konstrukcji i urządzeń w polskich obszarach morskich dla przedsięwzięcia pn. Morska Farma Wiatrowa Bałtyk Środkowy II;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na podstawie decyzji Ministra Transportu, Budownictwa i Gospodarki Morskiej wydane zostało pozwolenie na wznoszenie i wykorzystywanie sztucznych wysp, konstrukcji i urządzeń w polskich obszarach morskich dla przedsięwzięcia pn. Morska Farma Wiatrowa Baltica 2; 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na podstawie decyzji Ministra Transportu, Budownictwa i Gospodarki Morskiej wydane zostało pozwolenie na wznoszenie i wykorzystywanie sztucznych wysp, konstrukcji i urządzeń w polskich obszarach morskich dla przedsięwzięcia pn. Morska Farma Wiatrowa Bałtyk Środkowy III;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na podstawie decyzji Ministra Transportu, Budownictwa i Gospodarki Morskiej wydane zostało pozwolenie na wznoszenie i wykorzystywanie sztucznych wysp, konstrukcji i urządzeń w polskich obszarach morskich dla przedsięwzięcia pn. Morska Farma Wiatrowa Baltica 3;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na podstawie decyzji Ministra Transportu, Budownictwa i Gospodarki Morskiej wydane zostało pozwolenie na wznoszenie i wykorzystywanie sztucznych wysp, konstrukcji i urządzeń w polskich obszarach morskich dla przedsięwzięcia pn. Morska Farma Wiatrowa Baltic Power;</w:t>
            </w:r>
          </w:p>
          <w:p>
            <w:pPr>
              <w:pStyle w:val="OZNPROJEKTUwskazaniedatylubwersjiprojektu"/>
              <w:numPr>
                <w:ilvl w:val="0"/>
                <w:numId w:val="3"/>
              </w:numPr>
              <w:spacing w:after="120" w:line="276" w:lineRule="auto"/>
              <w:ind w:left="641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na podstawie decyzji Ministra Transportu, Budownictwa i Gospodarki Morskiej wydane zostało pozwolenie na układanie i utrzymywanie na obszarze wyłącznej strefy ekonomicznej RP kabli podmorskich odprowadzających energię elektryczną z morskiej farmy wiatrowej Bałtyk Środkowy III na ląd.</w:t>
            </w:r>
          </w:p>
        </w:tc>
      </w:tr>
      <w:tr>
        <w:trPr>
          <w:trHeight w:val="315"/>
        </w:trPr>
        <w:tc>
          <w:tcPr>
            <w:tcW w:w="9805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inne istotne informacje</w:t>
            </w:r>
          </w:p>
        </w:tc>
      </w:tr>
      <w:tr>
        <w:trPr>
          <w:trHeight w:val="270"/>
        </w:trPr>
        <w:tc>
          <w:tcPr>
            <w:tcW w:w="9805" w:type="dxa"/>
            <w:gridSpan w:val="4"/>
          </w:tcPr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hanging="35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REKOMENDACJE:</w:t>
            </w:r>
          </w:p>
          <w:p>
            <w:pPr>
              <w:widowControl w:val="0"/>
              <w:numPr>
                <w:ilvl w:val="1"/>
                <w:numId w:val="4"/>
              </w:numPr>
              <w:spacing w:after="120"/>
              <w:ind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rekomenduje się ustanowienie 100-metrowej strefy bezpieczeństwa wokół każdej funkcjonującej konstrukcji morskiej elektrowni wiatrowej;</w:t>
            </w:r>
          </w:p>
          <w:p>
            <w:pPr>
              <w:widowControl w:val="0"/>
              <w:numPr>
                <w:ilvl w:val="1"/>
                <w:numId w:val="4"/>
              </w:numPr>
              <w:spacing w:after="120"/>
              <w:ind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rekomenduje się takie rozplanowanie inwestycji, aby umożliwić wytyczenie korytarza transportowego dla jednostek do 150 m długości;</w:t>
            </w:r>
          </w:p>
          <w:p>
            <w:pPr>
              <w:widowControl w:val="0"/>
              <w:numPr>
                <w:ilvl w:val="1"/>
                <w:numId w:val="4"/>
              </w:numPr>
              <w:spacing w:after="120"/>
              <w:ind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każdej inwestycji przed wydaniem pozwolenia na budowę rekomenduje się opracowanie zasad prowadzenia rybołówstwa na obszarze morskich farm wiatrowych. Zasady powinny być opracowane w zespole koordynowanym przez ministra właściwego ds. rybołówstwa w porozumieniu z ministrem właściwym ds. energii oraz ministrem właściwym ds. gospodarki, ministrem właściwym ds. gospodarki morskiej, w skład którego będzie wchodziła reprezentacja przedstawicieli branży morskiej energetyki wiatrowej;</w:t>
            </w:r>
          </w:p>
          <w:p>
            <w:pPr>
              <w:widowControl w:val="0"/>
              <w:numPr>
                <w:ilvl w:val="1"/>
                <w:numId w:val="4"/>
              </w:numPr>
              <w:spacing w:after="120"/>
              <w:ind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w związku z istniejącymi na obszarze dobrymi warunkami dla rozrodu ryb zaleca się rozszerzenie zakresu raportu o oddziaływaniu na środowisko </w:t>
            </w:r>
            <w:r>
              <w:rPr>
                <w:rFonts w:ascii="Times New Roman" w:hAnsi="Times New Roman"/>
                <w:bCs/>
                <w:kern w:val="24"/>
              </w:rPr>
              <w:t xml:space="preserve">dla przedsięwzięć w akwenie </w:t>
            </w:r>
            <w:r>
              <w:rPr>
                <w:rFonts w:ascii="Times New Roman" w:hAnsi="Times New Roman"/>
                <w:bCs/>
                <w:kern w:val="24"/>
              </w:rPr>
              <w:br/>
              <w:t xml:space="preserve">o wpływ tych przedsięwzięć </w:t>
            </w:r>
            <w:r>
              <w:rPr>
                <w:rFonts w:ascii="Times New Roman" w:hAnsi="Times New Roman"/>
              </w:rPr>
              <w:t xml:space="preserve">na zasoby i rekrutację ryb ważnych dla rybołówstwa; </w:t>
            </w:r>
          </w:p>
          <w:p>
            <w:pPr>
              <w:widowControl w:val="0"/>
              <w:numPr>
                <w:ilvl w:val="1"/>
                <w:numId w:val="4"/>
              </w:numPr>
              <w:spacing w:after="120"/>
              <w:ind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ocena oddziaływania na środowisko dla inwestycji morskich farm wiatrowych powinna uwzględniać wpływ generowania pól fizycznych </w:t>
            </w:r>
            <w:r>
              <w:rPr>
                <w:rFonts w:ascii="Times New Roman" w:hAnsi="Times New Roman"/>
              </w:rPr>
              <w:t xml:space="preserve">(pole elektromagnetyczne), możliwe skumulowane negatywne oddziaływanie z sąsiednimi morskimi farmami wiatrowymi oraz ryzyko </w:t>
            </w:r>
            <w:r>
              <w:rPr>
                <w:rFonts w:ascii="Times New Roman" w:hAnsi="Times New Roman"/>
                <w:color w:val="000000"/>
              </w:rPr>
              <w:t>awarii związanych z kolizjami, także w sytuacjach nadzwyczajnych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widowControl w:val="0"/>
              <w:numPr>
                <w:ilvl w:val="1"/>
                <w:numId w:val="4"/>
              </w:numPr>
              <w:spacing w:after="120"/>
              <w:ind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zaleca się przesyłanie wytworzonej w akwenie energii przy użyciu zintegrowanej infrastruktury sieciowej, jeśli będzie to możliwe pod względem środowiskowym, ekonomicznym i zgodnym z warunkami technicznymi przyłączenia do sieci wydanymi przez Polskie Sieci Elektroenergetyczne.</w:t>
            </w:r>
            <w:bookmarkStart w:id="1" w:name="_GoBack"/>
            <w:bookmarkEnd w:id="1"/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1.1pt;height:12.75pt" o:bullet="t">
        <v:imagedata r:id="rId1" o:title=""/>
      </v:shape>
    </w:pict>
  </w:numPicBullet>
  <w:abstractNum w:abstractNumId="0" w15:restartNumberingAfterBreak="0">
    <w:nsid w:val="0BD93619"/>
    <w:multiLevelType w:val="multilevel"/>
    <w:tmpl w:val="85EEA38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192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0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" w15:restartNumberingAfterBreak="0">
    <w:nsid w:val="12CF31D3"/>
    <w:multiLevelType w:val="multilevel"/>
    <w:tmpl w:val="85EEA38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192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0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" w15:restartNumberingAfterBreak="0">
    <w:nsid w:val="3A4F2872"/>
    <w:multiLevelType w:val="multilevel"/>
    <w:tmpl w:val="85EEA38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192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0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3" w15:restartNumberingAfterBreak="0">
    <w:nsid w:val="436535C6"/>
    <w:multiLevelType w:val="multilevel"/>
    <w:tmpl w:val="1772B4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  <w:sz w:val="22"/>
        <w:szCs w:val="22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62023DC7"/>
    <w:multiLevelType w:val="multilevel"/>
    <w:tmpl w:val="85EEA38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192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0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5" w15:restartNumberingAfterBreak="0">
    <w:nsid w:val="6E9400BF"/>
    <w:multiLevelType w:val="multilevel"/>
    <w:tmpl w:val="6164CA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3196194"/>
    <w:multiLevelType w:val="multilevel"/>
    <w:tmpl w:val="85EEA38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192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0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7" w15:restartNumberingAfterBreak="0">
    <w:nsid w:val="795E6B59"/>
    <w:multiLevelType w:val="multilevel"/>
    <w:tmpl w:val="B4546A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9B58-CAEC-43E1-978B-63175D29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eastAsia="Times New Roman" w:hAnsi="Calibri Light" w:cs="Times New Roman"/>
      <w:b/>
      <w:bCs/>
      <w:color w:val="2F5496"/>
      <w:kern w:val="1"/>
      <w:sz w:val="28"/>
      <w:szCs w:val="28"/>
      <w:lang w:val="x-none"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pPr>
      <w:suppressAutoHyphens/>
    </w:pPr>
    <w:rPr>
      <w:rFonts w:ascii="Tahoma" w:hAnsi="Tahoma" w:cs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styleId="Bezodstpw">
    <w:name w:val="No Spacing"/>
    <w:uiPriority w:val="99"/>
    <w:qFormat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Pr>
      <w:rFonts w:ascii="Times" w:hAnsi="Times"/>
      <w:sz w:val="24"/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val="x-none"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imes" w:hAnsi="Times"/>
      <w:sz w:val="24"/>
      <w:szCs w:val="24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" w:eastAsia="Times New Roman" w:hAnsi="Times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val="x-none"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uiPriority w:val="2"/>
    <w:qFormat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3"/>
    <w:qFormat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Pr>
      <w:rFonts w:cs="Times New Roman"/>
      <w:b/>
    </w:rPr>
  </w:style>
  <w:style w:type="character" w:customStyle="1" w:styleId="Kkursywa">
    <w:name w:val="_K_ – kursywa"/>
    <w:uiPriority w:val="1"/>
    <w:qFormat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Pr>
      <w:rFonts w:cs="Times New Roman"/>
      <w:color w:val="80808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pPr>
      <w:spacing w:before="120" w:line="240" w:lineRule="auto"/>
      <w:ind w:firstLine="210"/>
      <w:jc w:val="both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Pr>
      <w:i/>
    </w:rPr>
  </w:style>
  <w:style w:type="character" w:styleId="Hipercze">
    <w:name w:val="Hyperlink"/>
    <w:uiPriority w:val="99"/>
    <w:semiHidden/>
    <w:unhideWhenUsed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unhideWhenUsed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67">
    <w:name w:val="xl67"/>
    <w:basedOn w:val="Normalny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hUwtext">
    <w:name w:val="ChUw text"/>
    <w:basedOn w:val="Normalny"/>
    <w:link w:val="ChUwtextZnak"/>
    <w:qFormat/>
    <w:pPr>
      <w:widowControl w:val="0"/>
      <w:autoSpaceDE w:val="0"/>
      <w:autoSpaceDN w:val="0"/>
      <w:adjustRightInd w:val="0"/>
      <w:spacing w:before="120"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hUwtextZnak">
    <w:name w:val="ChUw text Znak"/>
    <w:link w:val="ChUwtext"/>
    <w:locked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h2">
    <w:name w:val="h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TML-staaszeroko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Matczak</dc:creator>
  <cp:keywords/>
  <dc:description/>
  <cp:lastModifiedBy>Magdalena Matczak</cp:lastModifiedBy>
  <cp:revision>2</cp:revision>
  <dcterms:created xsi:type="dcterms:W3CDTF">2019-05-29T08:39:00Z</dcterms:created>
  <dcterms:modified xsi:type="dcterms:W3CDTF">2019-05-29T08:44:00Z</dcterms:modified>
</cp:coreProperties>
</file>