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ARTartustawynp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45. Ustala się rozstrzygnięcia szczegółowe dla akwenu POM.45.E, określone w karcie akwenu.</w:t>
      </w:r>
    </w:p>
    <w:tbl>
      <w:tblPr>
        <w:tblpPr w:leftFromText="142" w:rightFromText="142" w:vertAnchor="text" w:horzAnchor="margin" w:tblpY="1"/>
        <w:tblOverlap w:val="never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207"/>
        <w:gridCol w:w="1894"/>
        <w:gridCol w:w="2131"/>
        <w:gridCol w:w="3573"/>
      </w:tblGrid>
      <w:tr>
        <w:trPr>
          <w:trHeight w:val="600"/>
        </w:trPr>
        <w:tc>
          <w:tcPr>
            <w:tcW w:w="6232" w:type="dxa"/>
            <w:gridSpan w:val="3"/>
            <w:vMerge w:val="restart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karta akwenu</w:t>
            </w:r>
          </w:p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POM.45.E</w:t>
            </w:r>
          </w:p>
        </w:tc>
        <w:tc>
          <w:tcPr>
            <w:tcW w:w="3573" w:type="dxa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oznaczenie literowe</w:t>
            </w:r>
          </w:p>
        </w:tc>
      </w:tr>
      <w:tr>
        <w:trPr>
          <w:trHeight w:val="510"/>
        </w:trPr>
        <w:tc>
          <w:tcPr>
            <w:tcW w:w="6232" w:type="dxa"/>
            <w:gridSpan w:val="3"/>
            <w:vMerge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>
        <w:trPr>
          <w:trHeight w:val="2695"/>
        </w:trPr>
        <w:tc>
          <w:tcPr>
            <w:tcW w:w="2207" w:type="dxa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numer akwenu</w:t>
            </w:r>
          </w:p>
        </w:tc>
        <w:tc>
          <w:tcPr>
            <w:tcW w:w="1894" w:type="dxa"/>
          </w:tcPr>
          <w:p>
            <w:pPr>
              <w:pStyle w:val="TYTTABELItytutabeli"/>
              <w:spacing w:line="240" w:lineRule="auto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45</w:t>
            </w:r>
          </w:p>
        </w:tc>
        <w:tc>
          <w:tcPr>
            <w:tcW w:w="2131" w:type="dxa"/>
            <w:vMerge w:val="restart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opis położenia</w:t>
            </w:r>
          </w:p>
        </w:tc>
        <w:tc>
          <w:tcPr>
            <w:tcW w:w="3573" w:type="dxa"/>
            <w:vMerge w:val="restart"/>
          </w:tcPr>
          <w:tbl>
            <w:tblPr>
              <w:tblW w:w="3378" w:type="dxa"/>
              <w:tblBorders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1557"/>
              <w:gridCol w:w="1501"/>
            </w:tblGrid>
            <w:tr>
              <w:trPr>
                <w:trHeight w:val="30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55° 6' 49.128" N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17° 16' 37.664" E</w:t>
                  </w:r>
                </w:p>
              </w:tc>
            </w:tr>
            <w:tr>
              <w:trPr>
                <w:trHeight w:val="30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55° 3' 34.151" N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17° 23' 2.597" E</w:t>
                  </w:r>
                </w:p>
              </w:tc>
            </w:tr>
            <w:tr>
              <w:trPr>
                <w:trHeight w:val="30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55° 6' 39.130" N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17° 40' 30.000" E</w:t>
                  </w:r>
                </w:p>
              </w:tc>
            </w:tr>
            <w:tr>
              <w:trPr>
                <w:trHeight w:val="30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54° 59' 55.606" N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17° 40' 30.000" E</w:t>
                  </w:r>
                </w:p>
              </w:tc>
            </w:tr>
            <w:tr>
              <w:trPr>
                <w:trHeight w:val="30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54° 56' 42.424" N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17° 16' 57.430" E</w:t>
                  </w:r>
                </w:p>
              </w:tc>
            </w:tr>
            <w:tr>
              <w:trPr>
                <w:trHeight w:val="30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55° 2' 36.132" N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17° 14' 0.494" E</w:t>
                  </w:r>
                </w:p>
              </w:tc>
            </w:tr>
            <w:tr>
              <w:trPr>
                <w:trHeight w:val="30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54° 59' 23.166" N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17° 4' 54.964" E</w:t>
                  </w:r>
                </w:p>
              </w:tc>
            </w:tr>
            <w:tr>
              <w:trPr>
                <w:trHeight w:val="30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55° 0' 32.760" N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16° 58' 34.703" E</w:t>
                  </w:r>
                </w:p>
              </w:tc>
            </w:tr>
            <w:tr>
              <w:trPr>
                <w:trHeight w:val="30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55° 2' 7.171" N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16° 50' 52.962" E</w:t>
                  </w:r>
                </w:p>
              </w:tc>
            </w:tr>
            <w:tr>
              <w:trPr>
                <w:trHeight w:val="30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55° 7' 6.223" N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16° 44' 36.985" E</w:t>
                  </w:r>
                </w:p>
              </w:tc>
            </w:tr>
            <w:tr>
              <w:trPr>
                <w:trHeight w:val="30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55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55° 7' 7.490" N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>
                  <w:pPr>
                    <w:framePr w:hSpace="142" w:wrap="around" w:vAnchor="text" w:hAnchor="margin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16° 57' 13.274" E</w:t>
                  </w:r>
                </w:p>
              </w:tc>
            </w:tr>
          </w:tbl>
          <w:p>
            <w:pPr>
              <w:pStyle w:val="TYTTABELItytutabeli"/>
              <w:spacing w:line="240" w:lineRule="auto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18"/>
              </w:rPr>
              <w:t xml:space="preserve">pełny wykaz współrzędnych znajduje się </w:t>
            </w:r>
            <w:r>
              <w:rPr>
                <w:rFonts w:ascii="Times New Roman" w:hAnsi="Times New Roman" w:cs="Times New Roman"/>
                <w:b w:val="0"/>
                <w:caps w:val="0"/>
                <w:sz w:val="18"/>
              </w:rPr>
              <w:br/>
              <w:t xml:space="preserve">w </w:t>
            </w:r>
            <w:r>
              <w:rPr>
                <w:b w:val="0"/>
                <w:caps w:val="0"/>
                <w:sz w:val="18"/>
              </w:rPr>
              <w:t xml:space="preserve">§ 14.45 </w:t>
            </w:r>
            <w:r>
              <w:rPr>
                <w:rFonts w:ascii="Times New Roman" w:hAnsi="Times New Roman" w:cs="Times New Roman"/>
                <w:b w:val="0"/>
                <w:caps w:val="0"/>
                <w:sz w:val="18"/>
              </w:rPr>
              <w:t>Załącznika nr 1 – Ustalenia ogólne</w:t>
            </w:r>
          </w:p>
        </w:tc>
      </w:tr>
      <w:tr>
        <w:trPr>
          <w:trHeight w:val="1244"/>
        </w:trPr>
        <w:tc>
          <w:tcPr>
            <w:tcW w:w="2207" w:type="dxa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pole powierzchni</w:t>
            </w:r>
          </w:p>
        </w:tc>
        <w:tc>
          <w:tcPr>
            <w:tcW w:w="1894" w:type="dxa"/>
          </w:tcPr>
          <w:p>
            <w:pPr>
              <w:pStyle w:val="TYTTABELItytutabeli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698,95 </w:t>
            </w:r>
            <w:r>
              <w:rPr>
                <w:rFonts w:ascii="Times New Roman" w:hAnsi="Times New Roman" w:cs="Times New Roman"/>
                <w:b w:val="0"/>
                <w:caps w:val="0"/>
              </w:rPr>
              <w:t>km</w:t>
            </w:r>
            <w:r>
              <w:rPr>
                <w:rFonts w:ascii="Times New Roman" w:hAnsi="Times New Roman" w:cs="Times New Roman"/>
                <w:b w:val="0"/>
                <w:caps w:val="0"/>
                <w:vertAlign w:val="superscript"/>
              </w:rPr>
              <w:t>2</w:t>
            </w:r>
          </w:p>
        </w:tc>
        <w:tc>
          <w:tcPr>
            <w:tcW w:w="2131" w:type="dxa"/>
            <w:vMerge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</w:p>
        </w:tc>
        <w:tc>
          <w:tcPr>
            <w:tcW w:w="3573" w:type="dxa"/>
            <w:vMerge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</w:p>
        </w:tc>
      </w:tr>
      <w:tr>
        <w:trPr>
          <w:trHeight w:val="480"/>
        </w:trPr>
        <w:tc>
          <w:tcPr>
            <w:tcW w:w="9805" w:type="dxa"/>
            <w:gridSpan w:val="4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funkcja podstawowa</w:t>
            </w:r>
          </w:p>
        </w:tc>
      </w:tr>
      <w:tr>
        <w:trPr>
          <w:trHeight w:val="405"/>
        </w:trPr>
        <w:tc>
          <w:tcPr>
            <w:tcW w:w="9805" w:type="dxa"/>
            <w:gridSpan w:val="4"/>
          </w:tcPr>
          <w:p>
            <w:pPr>
              <w:pStyle w:val="TYTTABELItytutabeli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pozyskiwanie energii odnawialnej (E)</w:t>
            </w:r>
          </w:p>
        </w:tc>
      </w:tr>
      <w:tr>
        <w:trPr>
          <w:trHeight w:val="465"/>
        </w:trPr>
        <w:tc>
          <w:tcPr>
            <w:tcW w:w="9805" w:type="dxa"/>
            <w:gridSpan w:val="4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funkcje dopuszczalne</w:t>
            </w:r>
          </w:p>
        </w:tc>
      </w:tr>
      <w:tr>
        <w:trPr>
          <w:trHeight w:val="405"/>
        </w:trPr>
        <w:tc>
          <w:tcPr>
            <w:tcW w:w="9805" w:type="dxa"/>
            <w:gridSpan w:val="4"/>
          </w:tcPr>
          <w:p>
            <w:pPr>
              <w:pStyle w:val="Akapitzlist"/>
              <w:numPr>
                <w:ilvl w:val="0"/>
                <w:numId w:val="1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akwakultura (A);</w:t>
            </w:r>
          </w:p>
          <w:p>
            <w:pPr>
              <w:pStyle w:val="Akapitzlist"/>
              <w:numPr>
                <w:ilvl w:val="0"/>
                <w:numId w:val="1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badania naukowe (N);</w:t>
            </w:r>
          </w:p>
          <w:p>
            <w:pPr>
              <w:pStyle w:val="Akapitzlist"/>
              <w:numPr>
                <w:ilvl w:val="0"/>
                <w:numId w:val="1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dziedzictwo kulturowe (D);</w:t>
            </w:r>
          </w:p>
          <w:p>
            <w:pPr>
              <w:pStyle w:val="Akapitzlist"/>
              <w:numPr>
                <w:ilvl w:val="0"/>
                <w:numId w:val="1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infrastruktura techniczna (I);</w:t>
            </w:r>
          </w:p>
          <w:p>
            <w:pPr>
              <w:pStyle w:val="Akapitzlist"/>
              <w:numPr>
                <w:ilvl w:val="0"/>
                <w:numId w:val="1"/>
              </w:numPr>
              <w:spacing w:after="120"/>
              <w:contextualSpacing w:val="0"/>
              <w:rPr>
                <w:rFonts w:ascii="Times New Roman" w:hAnsi="Times New Roman"/>
                <w:sz w:val="24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</w:rPr>
              <w:t>poszukiwani</w:t>
            </w:r>
            <w:r>
              <w:rPr>
                <w:rFonts w:ascii="Times New Roman" w:hAnsi="Times New Roman"/>
                <w:sz w:val="22"/>
                <w:lang w:val="pl-PL"/>
              </w:rPr>
              <w:t>e</w:t>
            </w:r>
            <w:r>
              <w:rPr>
                <w:rFonts w:ascii="Times New Roman" w:hAnsi="Times New Roman"/>
                <w:sz w:val="22"/>
              </w:rPr>
              <w:t xml:space="preserve"> i rozpoznawani</w:t>
            </w:r>
            <w:r>
              <w:rPr>
                <w:rFonts w:ascii="Times New Roman" w:hAnsi="Times New Roman"/>
                <w:sz w:val="22"/>
                <w:lang w:val="pl-PL"/>
              </w:rPr>
              <w:t>e</w:t>
            </w:r>
            <w:r>
              <w:rPr>
                <w:rFonts w:ascii="Times New Roman" w:hAnsi="Times New Roman"/>
                <w:sz w:val="22"/>
              </w:rPr>
              <w:t xml:space="preserve"> złóż kopalin oraz wydobywani</w:t>
            </w:r>
            <w:r>
              <w:rPr>
                <w:rFonts w:ascii="Times New Roman" w:hAnsi="Times New Roman"/>
                <w:sz w:val="22"/>
                <w:lang w:val="pl-PL"/>
              </w:rPr>
              <w:t>e</w:t>
            </w:r>
            <w:r>
              <w:rPr>
                <w:rFonts w:ascii="Times New Roman" w:hAnsi="Times New Roman"/>
                <w:sz w:val="22"/>
              </w:rPr>
              <w:t xml:space="preserve"> kopalin ze złóż</w:t>
            </w:r>
            <w:r>
              <w:rPr>
                <w:rFonts w:ascii="Times New Roman" w:hAnsi="Times New Roman"/>
                <w:sz w:val="22"/>
                <w:lang w:val="pl-PL"/>
              </w:rPr>
              <w:t xml:space="preserve"> (K);</w:t>
            </w:r>
          </w:p>
          <w:p>
            <w:pPr>
              <w:pStyle w:val="Akapitzlist"/>
              <w:numPr>
                <w:ilvl w:val="0"/>
                <w:numId w:val="1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rybołówstwo (R);</w:t>
            </w:r>
          </w:p>
          <w:p>
            <w:pPr>
              <w:pStyle w:val="Akapitzlist"/>
              <w:numPr>
                <w:ilvl w:val="0"/>
                <w:numId w:val="1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sztuczne wyspy i konstrukcje (W);</w:t>
            </w:r>
          </w:p>
          <w:p>
            <w:pPr>
              <w:pStyle w:val="Akapitzlist"/>
              <w:numPr>
                <w:ilvl w:val="0"/>
                <w:numId w:val="1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transport (T);</w:t>
            </w:r>
          </w:p>
          <w:p>
            <w:pPr>
              <w:pStyle w:val="Akapitzlist"/>
              <w:numPr>
                <w:ilvl w:val="0"/>
                <w:numId w:val="1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turystyka, sport i rekreacja (S).</w:t>
            </w:r>
          </w:p>
        </w:tc>
      </w:tr>
      <w:tr>
        <w:trPr>
          <w:trHeight w:val="510"/>
        </w:trPr>
        <w:tc>
          <w:tcPr>
            <w:tcW w:w="9805" w:type="dxa"/>
            <w:gridSpan w:val="4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zakazy LUB ograniczenia W korzystaniu z Poszczególnych obszarów </w:t>
            </w:r>
          </w:p>
        </w:tc>
      </w:tr>
      <w:tr>
        <w:trPr>
          <w:trHeight w:val="555"/>
        </w:trPr>
        <w:tc>
          <w:tcPr>
            <w:tcW w:w="9805" w:type="dxa"/>
            <w:gridSpan w:val="4"/>
          </w:tcPr>
          <w:p>
            <w:pPr>
              <w:pStyle w:val="TEKSTwTABELIWYRODKOWANYtekstwyrodkowanywpoziomi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dla akwakultury:</w:t>
            </w:r>
          </w:p>
          <w:p>
            <w:pPr>
              <w:pStyle w:val="Default"/>
              <w:numPr>
                <w:ilvl w:val="1"/>
                <w:numId w:val="2"/>
              </w:numPr>
              <w:spacing w:after="12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 całym akwenie ogranicza się realizację funkcji do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przedsięwzięć uzgodnionych 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br/>
              <w:t>z właściwym inwestorem morskich farm wiatrowych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>
            <w:pPr>
              <w:pStyle w:val="Akapitzlist"/>
              <w:numPr>
                <w:ilvl w:val="0"/>
                <w:numId w:val="2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dla badań naukowych:</w:t>
            </w:r>
          </w:p>
          <w:p>
            <w:pPr>
              <w:pStyle w:val="TYTTABELItytutabeli"/>
              <w:numPr>
                <w:ilvl w:val="1"/>
                <w:numId w:val="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lastRenderedPageBreak/>
              <w:t>w całym akwenie ogranicza się prowadzenie badań naukowych do sposobów:</w:t>
            </w:r>
          </w:p>
          <w:p>
            <w:pPr>
              <w:pStyle w:val="TYTTABELItytutabeli"/>
              <w:numPr>
                <w:ilvl w:val="2"/>
                <w:numId w:val="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nienaruszających elementów liniowych infrastruktury technicznej;</w:t>
            </w:r>
          </w:p>
          <w:p>
            <w:pPr>
              <w:pStyle w:val="TYTTABELItytutabeli"/>
              <w:numPr>
                <w:ilvl w:val="2"/>
                <w:numId w:val="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niezagrażających skuteczności tarła i podchowu narybku ryb komercyjnych i uwzględniających konieczność zabezpieczenia funkcjonowania tarlisk ryb;</w:t>
            </w:r>
          </w:p>
          <w:p>
            <w:pPr>
              <w:pStyle w:val="Akapitzlist"/>
              <w:numPr>
                <w:ilvl w:val="0"/>
                <w:numId w:val="2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dla dziedzictwa kulturowego:</w:t>
            </w:r>
          </w:p>
          <w:p>
            <w:pPr>
              <w:pStyle w:val="Default"/>
              <w:numPr>
                <w:ilvl w:val="1"/>
                <w:numId w:val="2"/>
              </w:numPr>
              <w:spacing w:after="12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nie ustala się;</w:t>
            </w:r>
          </w:p>
          <w:p>
            <w:pPr>
              <w:pStyle w:val="Default"/>
              <w:numPr>
                <w:ilvl w:val="0"/>
                <w:numId w:val="2"/>
              </w:numPr>
              <w:spacing w:after="12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dla infrastruktury technicznej:</w:t>
            </w:r>
          </w:p>
          <w:p>
            <w:pPr>
              <w:pStyle w:val="TYTTABELItytutabeli"/>
              <w:numPr>
                <w:ilvl w:val="1"/>
                <w:numId w:val="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w całym akwenie:</w:t>
            </w:r>
          </w:p>
          <w:p>
            <w:pPr>
              <w:pStyle w:val="TYTTABELItytutabeli"/>
              <w:numPr>
                <w:ilvl w:val="2"/>
                <w:numId w:val="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ogranicza się realizację funkcji:</w:t>
            </w:r>
          </w:p>
          <w:p>
            <w:pPr>
              <w:pStyle w:val="Default"/>
              <w:numPr>
                <w:ilvl w:val="3"/>
                <w:numId w:val="2"/>
              </w:numPr>
              <w:spacing w:after="120" w:line="276" w:lineRule="auto"/>
              <w:rPr>
                <w:rFonts w:ascii="Times New Roman" w:hAnsi="Times New Roman" w:cs="Times New Roman"/>
                <w:cap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do infrastruktury niezbędnej do realizacji funkcji pozyskiwania energii; </w:t>
            </w:r>
          </w:p>
          <w:p>
            <w:pPr>
              <w:pStyle w:val="TYTTABELItytutabeli"/>
              <w:numPr>
                <w:ilvl w:val="3"/>
                <w:numId w:val="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do sposobów niezagrażających skuteczności tarła i podchowu narybku ryb komercyjnych i uwzględniających konieczność zabezpieczenia funkcjonowania tarlisk ryb;</w:t>
            </w:r>
          </w:p>
          <w:p>
            <w:pPr>
              <w:pStyle w:val="TYTTABELItytutabeli"/>
              <w:numPr>
                <w:ilvl w:val="2"/>
                <w:numId w:val="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wymaga się układania elementów liniowych infrastruktury technicznej w sposób zapewniający oszczędne korzystanie z przestrzeni, pod powierzchnią dna morskiego, a jeśli jest to niemożliwe z przyczyn środowiskowych czy technologicznych, należy stosować inne zabezpieczenia trwałe, umożliwiające bezpieczne używanie sieci stawnych kotwiczonych;</w:t>
            </w:r>
          </w:p>
          <w:p>
            <w:pPr>
              <w:pStyle w:val="TEKSTwTABELIWYRODKOWANYtekstwyrodkowanywpoziomi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dla poszukiwania i rozpoznawania złóż kopalin oraz wydobywania kopalin ze złóż:</w:t>
            </w:r>
          </w:p>
          <w:p>
            <w:pPr>
              <w:pStyle w:val="TYTTABELItytutabeli"/>
              <w:numPr>
                <w:ilvl w:val="1"/>
                <w:numId w:val="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w całym akwenie ogranicza się realizację funkcji do sposobów:</w:t>
            </w:r>
          </w:p>
          <w:p>
            <w:pPr>
              <w:pStyle w:val="TYTTABELItytutabeli"/>
              <w:numPr>
                <w:ilvl w:val="2"/>
                <w:numId w:val="2"/>
              </w:numPr>
              <w:spacing w:before="0" w:after="120" w:line="276" w:lineRule="auto"/>
              <w:jc w:val="left"/>
              <w:rPr>
                <w:rStyle w:val="Ppogrubienie"/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nienaruszających elementów liniowych infrastruktury technicznej;</w:t>
            </w:r>
          </w:p>
          <w:p>
            <w:pPr>
              <w:pStyle w:val="TEKSTwTABELIWYRODKOWANYtekstwyrodkowanywpoziomie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niezagrażających skuteczności tarła i podchowu narybku ryb komercyjnych i uwzględniających konieczność zabezpieczenia funkcjonowania tarlisk ryb</w:t>
            </w:r>
          </w:p>
          <w:p>
            <w:pPr>
              <w:pStyle w:val="Akapitzlist"/>
              <w:numPr>
                <w:ilvl w:val="1"/>
                <w:numId w:val="2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 całym akwenie</w:t>
            </w:r>
            <w:r>
              <w:rPr>
                <w:rFonts w:ascii="Times New Roman" w:hAnsi="Times New Roman"/>
                <w:b/>
                <w:cap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ogranicza się wydobycie kopalin ze złóż do przedsięwzięć uzgodnionych z właściwym inwestorem morskich farm wiatrowych;</w:t>
            </w:r>
          </w:p>
          <w:p>
            <w:pPr>
              <w:pStyle w:val="Akapitzlist"/>
              <w:numPr>
                <w:ilvl w:val="0"/>
                <w:numId w:val="2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dla rybołówstwa:</w:t>
            </w:r>
          </w:p>
          <w:p>
            <w:pPr>
              <w:pStyle w:val="TEKSTwTABELIWYRODKOWANYtekstwyrodkowanywpoziomie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 ustala się do czasu rozpoczęcia wznoszenia morskich elektrowni wiatrowych;</w:t>
            </w:r>
          </w:p>
          <w:p>
            <w:pPr>
              <w:pStyle w:val="TEKSTwTABELIWYRODKOWANYtekstwyrodkowanywpoziomie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trakcie eksploatacji morskich elektrowni wiatrowych, do czasu wypracowania zasad prowadzenia rybołówstwa w akwenie, zakazuje się uprawiania rybołówstwa w strefach bezpieczeństwa każdej konstrukcji oraz w miejscach zagrażających bezpieczeństwu wewnętrznej infrastruktury przyłączeniowej;</w:t>
            </w:r>
          </w:p>
          <w:p>
            <w:pPr>
              <w:pStyle w:val="Default"/>
              <w:numPr>
                <w:ilvl w:val="0"/>
                <w:numId w:val="2"/>
              </w:numPr>
              <w:spacing w:after="12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0" w:name="_Hlk530397687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dla sztucznych wysp i konstrukcji:</w:t>
            </w:r>
          </w:p>
          <w:p>
            <w:pPr>
              <w:pStyle w:val="TEKSTwTABELIWYRODKOWANYtekstwyrodkowanywpoziomie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całym akwenie zakazuje się posadawiania sztucznych wysp, konstrukcji i urządzeń służących do wydobywania węglowodorów;</w:t>
            </w:r>
          </w:p>
          <w:p>
            <w:pPr>
              <w:pStyle w:val="TYTTABELItytutabeli"/>
              <w:numPr>
                <w:ilvl w:val="1"/>
                <w:numId w:val="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w całym akwenie ogranicza się:</w:t>
            </w:r>
          </w:p>
          <w:p>
            <w:pPr>
              <w:pStyle w:val="TYTTABELItytutabeli"/>
              <w:numPr>
                <w:ilvl w:val="2"/>
                <w:numId w:val="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wznoszenie sztucznych wysp, konstrukcji i urządzeń do sposobów niezagrażających skuteczności tarła i podchowu narybku ryb komercyjnych i uwzględniających konieczność zabezpieczenia funkcjonowania tarlisk ryb;</w:t>
            </w:r>
          </w:p>
          <w:p>
            <w:pPr>
              <w:pStyle w:val="TEKSTwTABELIWYRODKOWANYtekstwyrodkowanywpoziomie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wznoszenie konstrukcji na potrzeby akwakultury do miejsc nienaruszających elementów liniowych infrastruktury technicznej;</w:t>
            </w:r>
          </w:p>
          <w:bookmarkEnd w:id="0"/>
          <w:p>
            <w:pPr>
              <w:pStyle w:val="TYTTABELItytutabeli"/>
              <w:numPr>
                <w:ilvl w:val="1"/>
                <w:numId w:val="2"/>
              </w:numPr>
              <w:spacing w:before="0" w:after="120" w:line="276" w:lineRule="auto"/>
              <w:jc w:val="left"/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2"/>
                <w:szCs w:val="22"/>
              </w:rPr>
              <w:t>w podakwenie 45.201.I ogranicza się wznoszenie konstrukcji i urządzeń budowy stacji elektroenergetycznych będących elementami sieci przesyłowej;</w:t>
            </w:r>
          </w:p>
          <w:p>
            <w:pPr>
              <w:pStyle w:val="Akapitzlist"/>
              <w:numPr>
                <w:ilvl w:val="0"/>
                <w:numId w:val="2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dla transportu:</w:t>
            </w:r>
          </w:p>
          <w:p>
            <w:pPr>
              <w:pStyle w:val="TEKSTwTABELIWYRODKOWANYtekstwyrodkowanywpoziomie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 ustala się do czasu rozpoczęcia wznoszenia morskich elektrowni wiatrowych;</w:t>
            </w:r>
          </w:p>
          <w:p>
            <w:pPr>
              <w:pStyle w:val="TEKSTwTABELIWYRODKOWANYtekstwyrodkowanywpoziomie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trakcie eksploatacji morskich elektrowni wiatrowych ogranicza się żeglugę do jednostek </w:t>
            </w:r>
            <w:r>
              <w:rPr>
                <w:rFonts w:ascii="Times New Roman" w:hAnsi="Times New Roman"/>
              </w:rPr>
              <w:br/>
              <w:t>o długości poniżej 50 m do czasu ustanowienia warunków bezpieczeństwa żeglugi decyzją właściwego terytorialnie dyrektora urzędu morskiego, z wyjątkiem żeglugi jednostek związanych z obsługą oraz konserwacją konstrukcji i urządzeń morskich farm wiatrowych oraz akwakultury;</w:t>
            </w:r>
          </w:p>
          <w:p>
            <w:pPr>
              <w:pStyle w:val="Akapitzlist"/>
              <w:numPr>
                <w:ilvl w:val="0"/>
                <w:numId w:val="2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dla turystyki, sportu i rekreacji:</w:t>
            </w:r>
          </w:p>
          <w:p>
            <w:pPr>
              <w:pStyle w:val="Default"/>
              <w:numPr>
                <w:ilvl w:val="1"/>
                <w:numId w:val="2"/>
              </w:numPr>
              <w:spacing w:after="12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nie ustala się;</w:t>
            </w:r>
          </w:p>
          <w:p>
            <w:pPr>
              <w:pStyle w:val="TEKSTwTABELIWYRODKOWANYtekstwyrodkowanywpoziomi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inne:</w:t>
            </w:r>
          </w:p>
          <w:p>
            <w:pPr>
              <w:pStyle w:val="TEKSTwTABELIWYRODKOWANYtekstwyrodkowanywpoziomie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 ułożeniu elementów liniowych infrastruktury technicznej wymaga się ustanowienia wokół nich strefy bezpieczeństwa, w której będzie obowiązywać zakaz kotwiczenia, z wyłączeniem kotwiczenia awaryjnego oraz związanego </w:t>
            </w:r>
            <w:r>
              <w:rPr>
                <w:rFonts w:ascii="Times New Roman" w:hAnsi="Times New Roman"/>
              </w:rPr>
              <w:br/>
              <w:t>z pracami instalacyjnymi i serwisowymi.</w:t>
            </w:r>
          </w:p>
        </w:tc>
      </w:tr>
      <w:tr>
        <w:trPr>
          <w:trHeight w:val="585"/>
        </w:trPr>
        <w:tc>
          <w:tcPr>
            <w:tcW w:w="9805" w:type="dxa"/>
            <w:gridSpan w:val="4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 inwestycje celu publicznego</w:t>
            </w:r>
          </w:p>
        </w:tc>
      </w:tr>
      <w:tr>
        <w:trPr>
          <w:trHeight w:val="465"/>
        </w:trPr>
        <w:tc>
          <w:tcPr>
            <w:tcW w:w="9805" w:type="dxa"/>
            <w:gridSpan w:val="4"/>
          </w:tcPr>
          <w:p>
            <w:pPr>
              <w:pStyle w:val="Akapitzlist"/>
              <w:numPr>
                <w:ilvl w:val="0"/>
                <w:numId w:val="5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wyznacza się podakwen 45.201.I przeznaczony na układanie i utrzymywanie elementów liniowych infrastruktury technicznej – w tym zewnętrznej infrastruktury przyłączeniowej morskich farm wiatrowych oraz planowanego połączenia stałoprądowego pomiędzy Polską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a Litwą</w:t>
            </w:r>
            <w:r>
              <w:rPr>
                <w:rFonts w:ascii="Times New Roman" w:hAnsi="Times New Roman"/>
                <w:sz w:val="22"/>
                <w:lang w:val="pl-PL"/>
              </w:rPr>
              <w:t>;</w:t>
            </w:r>
            <w:r>
              <w:rPr>
                <w:rFonts w:ascii="Times New Roman" w:hAnsi="Times New Roman"/>
                <w:b/>
                <w:caps/>
                <w:sz w:val="22"/>
                <w:lang w:val="pl-PL"/>
              </w:rPr>
              <w:t xml:space="preserve"> </w:t>
            </w:r>
          </w:p>
          <w:p>
            <w:pPr>
              <w:pStyle w:val="Akapitzlist"/>
              <w:numPr>
                <w:ilvl w:val="0"/>
                <w:numId w:val="5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planowana inwestycja polegająca na ułożeniu kabla podmorskiego i utworzeniu połączenia stałoprądowego pomiędzy Polską a Litwą </w:t>
            </w:r>
            <w:r>
              <w:rPr>
                <w:rFonts w:ascii="Times New Roman" w:hAnsi="Times New Roman"/>
                <w:sz w:val="22"/>
              </w:rPr>
              <w:t>p</w:t>
            </w:r>
            <w:r>
              <w:rPr>
                <w:rFonts w:ascii="Times New Roman" w:hAnsi="Times New Roman"/>
                <w:sz w:val="22"/>
                <w:lang w:val="pl-PL"/>
              </w:rPr>
              <w:t>o</w:t>
            </w:r>
            <w:r>
              <w:rPr>
                <w:rFonts w:ascii="Times New Roman" w:hAnsi="Times New Roman"/>
                <w:sz w:val="22"/>
              </w:rPr>
              <w:t>z</w:t>
            </w:r>
            <w:r>
              <w:rPr>
                <w:rFonts w:ascii="Times New Roman" w:hAnsi="Times New Roman"/>
                <w:sz w:val="22"/>
                <w:lang w:val="pl-PL"/>
              </w:rPr>
              <w:t>a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  <w:lang w:val="pl-PL"/>
              </w:rPr>
              <w:t>w</w:t>
            </w:r>
            <w:proofErr w:type="spellStart"/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z w:val="22"/>
                <w:lang w:val="pl-PL"/>
              </w:rPr>
              <w:t>z</w:t>
            </w:r>
            <w:r>
              <w:rPr>
                <w:rFonts w:ascii="Times New Roman" w:hAnsi="Times New Roman"/>
                <w:sz w:val="22"/>
              </w:rPr>
              <w:t>nac</w:t>
            </w:r>
            <w:r>
              <w:rPr>
                <w:rFonts w:ascii="Times New Roman" w:hAnsi="Times New Roman"/>
                <w:sz w:val="22"/>
                <w:lang w:val="pl-PL"/>
              </w:rPr>
              <w:t>zon</w:t>
            </w:r>
            <w:r>
              <w:rPr>
                <w:rFonts w:ascii="Times New Roman" w:hAnsi="Times New Roman"/>
                <w:sz w:val="22"/>
              </w:rPr>
              <w:t>ym</w:t>
            </w:r>
            <w:r>
              <w:rPr>
                <w:rFonts w:ascii="Times New Roman" w:hAnsi="Times New Roman"/>
                <w:sz w:val="22"/>
                <w:lang w:val="pl-PL"/>
              </w:rPr>
              <w:t>i</w:t>
            </w:r>
            <w:proofErr w:type="spellEnd"/>
            <w:r>
              <w:rPr>
                <w:rFonts w:ascii="Times New Roman" w:hAnsi="Times New Roman"/>
                <w:sz w:val="22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p</w:t>
            </w:r>
            <w:r>
              <w:rPr>
                <w:rFonts w:ascii="Times New Roman" w:hAnsi="Times New Roman"/>
                <w:sz w:val="22"/>
                <w:lang w:val="pl-PL"/>
              </w:rPr>
              <w:t>od</w:t>
            </w:r>
            <w:proofErr w:type="spellStart"/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  <w:lang w:val="pl-PL"/>
              </w:rPr>
              <w:t>k</w:t>
            </w:r>
            <w:proofErr w:type="spellEnd"/>
            <w:r>
              <w:rPr>
                <w:rFonts w:ascii="Times New Roman" w:hAnsi="Times New Roman"/>
                <w:sz w:val="22"/>
              </w:rPr>
              <w:t>w</w:t>
            </w:r>
            <w:r>
              <w:rPr>
                <w:rFonts w:ascii="Times New Roman" w:hAnsi="Times New Roman"/>
                <w:sz w:val="22"/>
                <w:lang w:val="pl-PL"/>
              </w:rPr>
              <w:t>e</w:t>
            </w:r>
            <w:r>
              <w:rPr>
                <w:rFonts w:ascii="Times New Roman" w:hAnsi="Times New Roman"/>
                <w:sz w:val="22"/>
              </w:rPr>
              <w:t>n</w:t>
            </w:r>
            <w:r>
              <w:rPr>
                <w:rFonts w:ascii="Times New Roman" w:hAnsi="Times New Roman"/>
                <w:sz w:val="22"/>
                <w:lang w:val="pl-PL"/>
              </w:rPr>
              <w:t>am</w:t>
            </w:r>
            <w:r>
              <w:rPr>
                <w:rFonts w:ascii="Times New Roman" w:hAnsi="Times New Roman"/>
                <w:sz w:val="22"/>
              </w:rPr>
              <w:t>i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.</w:t>
            </w:r>
          </w:p>
        </w:tc>
      </w:tr>
      <w:tr>
        <w:trPr>
          <w:trHeight w:val="285"/>
        </w:trPr>
        <w:tc>
          <w:tcPr>
            <w:tcW w:w="9805" w:type="dxa"/>
            <w:gridSpan w:val="4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warunki korzystania z akwenu</w:t>
            </w:r>
          </w:p>
        </w:tc>
      </w:tr>
      <w:tr>
        <w:trPr>
          <w:trHeight w:val="285"/>
        </w:trPr>
        <w:tc>
          <w:tcPr>
            <w:tcW w:w="9805" w:type="dxa"/>
            <w:gridSpan w:val="4"/>
          </w:tcPr>
          <w:p>
            <w:pPr>
              <w:pStyle w:val="Akapitzlist"/>
              <w:numPr>
                <w:ilvl w:val="0"/>
                <w:numId w:val="8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ochrona środowiska:</w:t>
            </w:r>
          </w:p>
          <w:p>
            <w:pPr>
              <w:pStyle w:val="Akapitzlist"/>
              <w:numPr>
                <w:ilvl w:val="1"/>
                <w:numId w:val="8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nie ustala się;</w:t>
            </w:r>
          </w:p>
          <w:p>
            <w:pPr>
              <w:pStyle w:val="Akapitzlist"/>
              <w:numPr>
                <w:ilvl w:val="0"/>
                <w:numId w:val="8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obronność i bezpieczeństwo państwa:</w:t>
            </w:r>
          </w:p>
          <w:p>
            <w:pPr>
              <w:pStyle w:val="Akapitzlist"/>
              <w:numPr>
                <w:ilvl w:val="1"/>
                <w:numId w:val="8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nie ustala się;</w:t>
            </w:r>
          </w:p>
          <w:p>
            <w:pPr>
              <w:pStyle w:val="Akapitzlist"/>
              <w:numPr>
                <w:ilvl w:val="0"/>
                <w:numId w:val="8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ochrona dziedzictwa kulturowego:</w:t>
            </w:r>
          </w:p>
          <w:p>
            <w:pPr>
              <w:pStyle w:val="Akapitzlist"/>
              <w:numPr>
                <w:ilvl w:val="1"/>
                <w:numId w:val="8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nie ustala się;</w:t>
            </w:r>
          </w:p>
          <w:p>
            <w:pPr>
              <w:pStyle w:val="Akapitzlist"/>
              <w:numPr>
                <w:ilvl w:val="0"/>
                <w:numId w:val="8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rybołówstwo i akwakultura:</w:t>
            </w:r>
          </w:p>
          <w:p>
            <w:pPr>
              <w:pStyle w:val="Akapitzlist"/>
              <w:numPr>
                <w:ilvl w:val="1"/>
                <w:numId w:val="8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na etapie wydawania decyzji administracyjnej umożliwiającej realizację akwakultury 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br/>
              <w:t xml:space="preserve">w akwenie powinno nastąpić uzgodnienie z właściwym inwestorem morskiej farmy wiatrowej. Szczegółowa lokalizacja i rozwiązania technologiczne </w:t>
            </w:r>
            <w:r>
              <w:rPr>
                <w:rFonts w:ascii="Times New Roman" w:hAnsi="Times New Roman"/>
                <w:sz w:val="22"/>
                <w:szCs w:val="24"/>
                <w:lang w:val="pl-PL"/>
              </w:rPr>
              <w:t>i techniczne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powinny zostać wskazane na etapie projektu budowlanego;</w:t>
            </w:r>
          </w:p>
          <w:p>
            <w:pPr>
              <w:pStyle w:val="Akapitzlist"/>
              <w:numPr>
                <w:ilvl w:val="1"/>
                <w:numId w:val="8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lastRenderedPageBreak/>
              <w:t xml:space="preserve">w trakcie eksploatacji wymaga się wprowadzenia decyzją właściwego terytorialnie dyrektora urzędu morskiego ograniczeń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uprawiania 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rybołówstwa w strefach bezpieczeństwa ustalonych dla każdego przedsięwzięcia;</w:t>
            </w:r>
          </w:p>
          <w:p>
            <w:pPr>
              <w:pStyle w:val="Akapitzlist"/>
              <w:numPr>
                <w:ilvl w:val="0"/>
                <w:numId w:val="8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pozyskiwanie energii odnawialnej:</w:t>
            </w:r>
          </w:p>
          <w:p>
            <w:pPr>
              <w:pStyle w:val="Default"/>
              <w:numPr>
                <w:ilvl w:val="1"/>
                <w:numId w:val="8"/>
              </w:numPr>
              <w:spacing w:after="12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obszar przeznaczony na pozyskiwanie energii z wiatru za pomocą morskich elektrowni wiatrowych. Integralnymi elementami przedsięwzięcia są wewnętrzna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i zewnętrzna infrastruktura techniczna; </w:t>
            </w:r>
          </w:p>
          <w:p>
            <w:pPr>
              <w:pStyle w:val="TEKSTwTABELIWYRODKOWANYtekstwyrodkowanywpoziomie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 momencie rozpoczęcia inwestycji wznoszenia sztucznych wysp i konstrukcji wymaga się wprowadzenia decyzją właściwego terytorialnie dyrektora urzędu morskiego zakazu uprawiania rybołówstwa i żeglugi w akwenie zajętym pod budowę, wraz </w:t>
            </w:r>
            <w:r>
              <w:rPr>
                <w:rFonts w:ascii="Times New Roman" w:hAnsi="Times New Roman"/>
              </w:rPr>
              <w:br/>
              <w:t>z 500-metrową strefą bezpieczeństwa wokół akwenu, na czas budowy;</w:t>
            </w:r>
          </w:p>
          <w:p>
            <w:pPr>
              <w:pStyle w:val="Default"/>
              <w:numPr>
                <w:ilvl w:val="1"/>
                <w:numId w:val="8"/>
              </w:numPr>
              <w:spacing w:after="120" w:line="276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 trakcie eksploatacji morskich elektrowni wiatrowych wymaga się wprowadzenia decyzją właściwego terytorialnie dyrektora urzędu morskiego ograniczeń uprawiania rybołówstwa i żeglugi w strefach bezpieczeństwa ustalonych dla każdej konstrukcji oraz w miejscach zagrażających bezpieczeństwu wewnętrznej infrastruktury technicznej;</w:t>
            </w:r>
          </w:p>
          <w:p>
            <w:pPr>
              <w:pStyle w:val="Akapitzlist"/>
              <w:numPr>
                <w:ilvl w:val="0"/>
                <w:numId w:val="8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poszukiwanie, rozpoznawanie złóż kopalin oraz wydobywanie kopalin ze złóż:</w:t>
            </w:r>
          </w:p>
          <w:p>
            <w:pPr>
              <w:numPr>
                <w:ilvl w:val="1"/>
                <w:numId w:val="8"/>
              </w:num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dopuszcza się poszukiwanie, rozpoznawanie złóż kopalin w całym akwenie;</w:t>
            </w:r>
          </w:p>
          <w:p>
            <w:pPr>
              <w:pStyle w:val="Akapitzlist"/>
              <w:numPr>
                <w:ilvl w:val="1"/>
                <w:numId w:val="8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dopuszcza się wydobywanie kopalin ze złóż zgodnie z ograniczeniami w ust 7 pkt 5 i 7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.</w:t>
            </w:r>
          </w:p>
        </w:tc>
      </w:tr>
      <w:tr>
        <w:trPr>
          <w:trHeight w:val="525"/>
        </w:trPr>
        <w:tc>
          <w:tcPr>
            <w:tcW w:w="9805" w:type="dxa"/>
            <w:gridSpan w:val="4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 ustalenia wiążące samorządy województw oraz gminy</w:t>
            </w:r>
          </w:p>
        </w:tc>
      </w:tr>
      <w:tr>
        <w:trPr>
          <w:trHeight w:val="315"/>
        </w:trPr>
        <w:tc>
          <w:tcPr>
            <w:tcW w:w="9805" w:type="dxa"/>
            <w:gridSpan w:val="4"/>
          </w:tcPr>
          <w:p>
            <w:pPr>
              <w:pStyle w:val="Akapitzlist"/>
              <w:numPr>
                <w:ilvl w:val="0"/>
                <w:numId w:val="6"/>
              </w:numPr>
              <w:spacing w:after="120"/>
              <w:contextualSpacing w:val="0"/>
              <w:rPr>
                <w:rFonts w:ascii="Times New Roman" w:hAnsi="Times New Roman"/>
                <w:b/>
                <w:caps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nie ustala się.</w:t>
            </w:r>
          </w:p>
        </w:tc>
      </w:tr>
      <w:tr>
        <w:trPr>
          <w:trHeight w:val="330"/>
        </w:trPr>
        <w:tc>
          <w:tcPr>
            <w:tcW w:w="9805" w:type="dxa"/>
            <w:gridSpan w:val="4"/>
            <w:shd w:val="clear" w:color="auto" w:fill="D9D9D9"/>
          </w:tcPr>
          <w:p>
            <w:pPr>
              <w:pStyle w:val="TYTTABELItytutabeli"/>
              <w:rPr>
                <w:rStyle w:val="IDindeksdolny"/>
                <w:rFonts w:ascii="Times New Roman" w:hAnsi="Times New Roman"/>
              </w:rPr>
            </w:pPr>
            <w:r>
              <w:rPr>
                <w:rStyle w:val="IDindeksdolny"/>
                <w:rFonts w:ascii="Times New Roman" w:hAnsi="Times New Roman"/>
              </w:rPr>
              <w:t>uwarunkowania</w:t>
            </w:r>
          </w:p>
        </w:tc>
      </w:tr>
      <w:tr>
        <w:trPr>
          <w:trHeight w:val="300"/>
        </w:trPr>
        <w:tc>
          <w:tcPr>
            <w:tcW w:w="9805" w:type="dxa"/>
            <w:gridSpan w:val="4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zasady korzystania z akwenu</w:t>
            </w:r>
          </w:p>
          <w:p>
            <w:pPr>
              <w:pStyle w:val="TEKSTwTABELIWYRODKOWANYtekstwyrodkowanywpoziomi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(wynikające z dokumentów lub aktów normatywnych)</w:t>
            </w:r>
          </w:p>
        </w:tc>
      </w:tr>
      <w:tr>
        <w:trPr>
          <w:trHeight w:val="255"/>
        </w:trPr>
        <w:tc>
          <w:tcPr>
            <w:tcW w:w="9805" w:type="dxa"/>
            <w:gridSpan w:val="4"/>
          </w:tcPr>
          <w:p>
            <w:pPr>
              <w:pStyle w:val="OZNPROJEKTUwskazaniedatylubwersjiprojektu"/>
              <w:numPr>
                <w:ilvl w:val="0"/>
                <w:numId w:val="7"/>
              </w:numPr>
              <w:spacing w:after="120" w:line="276" w:lineRule="auto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 xml:space="preserve">formy ochrony przyrody i ich otulin oraz ustalenia planów ochrony, o których mowa w przepisach </w:t>
            </w:r>
            <w:r>
              <w:rPr>
                <w:rFonts w:cs="Times New Roman"/>
                <w:sz w:val="22"/>
                <w:szCs w:val="22"/>
                <w:u w:val="none"/>
              </w:rPr>
              <w:br/>
              <w:t>o ochronie przyrody:</w:t>
            </w:r>
          </w:p>
          <w:p>
            <w:pPr>
              <w:pStyle w:val="Akapitzlist"/>
              <w:numPr>
                <w:ilvl w:val="1"/>
                <w:numId w:val="7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brak;</w:t>
            </w:r>
          </w:p>
          <w:p>
            <w:pPr>
              <w:pStyle w:val="OZNPROJEKTUwskazaniedatylubwersjiprojektu"/>
              <w:numPr>
                <w:ilvl w:val="0"/>
                <w:numId w:val="7"/>
              </w:numPr>
              <w:spacing w:after="120" w:line="276" w:lineRule="auto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>obiekty i akweny chronione ustanowione na podstawie przepisów o ochronie zabytków i opiece nad zabytkami:</w:t>
            </w:r>
          </w:p>
          <w:p>
            <w:pPr>
              <w:pStyle w:val="Akapitzlist"/>
              <w:numPr>
                <w:ilvl w:val="1"/>
                <w:numId w:val="7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w akwenie zlokalizowane jest podwodne dziedzictwo kulturowe;</w:t>
            </w:r>
          </w:p>
          <w:p>
            <w:pPr>
              <w:pStyle w:val="OZNPROJEKTUwskazaniedatylubwersjiprojektu"/>
              <w:numPr>
                <w:ilvl w:val="0"/>
                <w:numId w:val="7"/>
              </w:numPr>
              <w:spacing w:after="120" w:line="276" w:lineRule="auto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>obiekty i strefy chronione ustanowione na podstawie przepisów o ochronie środowiska:</w:t>
            </w:r>
          </w:p>
          <w:p>
            <w:pPr>
              <w:pStyle w:val="Akapitzlist"/>
              <w:numPr>
                <w:ilvl w:val="1"/>
                <w:numId w:val="7"/>
              </w:numPr>
              <w:spacing w:after="120"/>
              <w:ind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brak;</w:t>
            </w:r>
          </w:p>
          <w:p>
            <w:pPr>
              <w:pStyle w:val="Akapitzlist"/>
              <w:numPr>
                <w:ilvl w:val="0"/>
                <w:numId w:val="7"/>
              </w:numPr>
              <w:spacing w:after="120"/>
              <w:ind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strefy zamknięte dla żeglugi i rybołówstwa oraz ogłaszane okresowo strefy niebezpieczne dla żeglugi i rybołówstwa, ustanawiane na podstawie ds. 3 ust. 1 ustawy o obszarach morskich Rzeczypospolitej Polskiej i administracji morskiej:</w:t>
            </w:r>
          </w:p>
          <w:p>
            <w:pPr>
              <w:pStyle w:val="Akapitzlist"/>
              <w:numPr>
                <w:ilvl w:val="1"/>
                <w:numId w:val="7"/>
              </w:numPr>
              <w:spacing w:after="120"/>
              <w:ind w:hanging="357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brak;</w:t>
            </w:r>
          </w:p>
          <w:p>
            <w:pPr>
              <w:pStyle w:val="OZNPROJEKTUwskazaniedatylubwersjiprojektu"/>
              <w:numPr>
                <w:ilvl w:val="0"/>
                <w:numId w:val="7"/>
              </w:numPr>
              <w:spacing w:after="120" w:line="276" w:lineRule="auto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>ochrona żywych zasobów morza na podstawie przepisów o rybołówstwie morskim:</w:t>
            </w:r>
          </w:p>
          <w:p>
            <w:pPr>
              <w:pStyle w:val="Akapitzlist"/>
              <w:numPr>
                <w:ilvl w:val="1"/>
                <w:numId w:val="7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lastRenderedPageBreak/>
              <w:t>w akwenie obowiązują zasady, zakazy i ograniczenia obowiązujące rybołówstwo;</w:t>
            </w:r>
          </w:p>
          <w:p>
            <w:pPr>
              <w:pStyle w:val="OZNPROJEKTUwskazaniedatylubwersjiprojektu"/>
              <w:numPr>
                <w:ilvl w:val="0"/>
                <w:numId w:val="7"/>
              </w:numPr>
              <w:spacing w:after="120" w:line="276" w:lineRule="auto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>działania realizowane w ramach Krajowego programu ochrony wód morskich:</w:t>
            </w:r>
          </w:p>
          <w:p>
            <w:pPr>
              <w:pStyle w:val="Akapitzlist"/>
              <w:numPr>
                <w:ilvl w:val="1"/>
                <w:numId w:val="7"/>
              </w:numPr>
              <w:spacing w:after="120"/>
              <w:contextualSpacing w:val="0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w akwenie obowiązują działania opisane w Krajowym programie ochrony wód morskich.</w:t>
            </w:r>
          </w:p>
        </w:tc>
      </w:tr>
      <w:tr>
        <w:trPr>
          <w:trHeight w:val="240"/>
        </w:trPr>
        <w:tc>
          <w:tcPr>
            <w:tcW w:w="9805" w:type="dxa"/>
            <w:gridSpan w:val="4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 szczególnie istotne uwarunkowania dotyczące akwenu</w:t>
            </w:r>
          </w:p>
        </w:tc>
      </w:tr>
      <w:tr>
        <w:trPr>
          <w:trHeight w:val="210"/>
        </w:trPr>
        <w:tc>
          <w:tcPr>
            <w:tcW w:w="9805" w:type="dxa"/>
            <w:gridSpan w:val="4"/>
          </w:tcPr>
          <w:p>
            <w:pPr>
              <w:pStyle w:val="OZNPROJEKTUwskazaniedatylubwersjiprojektu"/>
              <w:numPr>
                <w:ilvl w:val="0"/>
                <w:numId w:val="3"/>
              </w:numPr>
              <w:spacing w:after="120" w:line="276" w:lineRule="auto"/>
              <w:ind w:left="641" w:hanging="357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>na podstawie przepisów ustawy z dnia 21 marca 1991 r. o obszarach morskich Rzeczypospolitej Polskiej i administracji morskiej akwen jest położony w terytorialnym zakresie działania Dyrektora Urzędu Morskiego w Słupsku, na obszarze wyłącznej strefy ekonomicznej RP;</w:t>
            </w:r>
          </w:p>
          <w:p>
            <w:pPr>
              <w:widowControl w:val="0"/>
              <w:numPr>
                <w:ilvl w:val="0"/>
                <w:numId w:val="3"/>
              </w:numPr>
              <w:spacing w:after="120"/>
              <w:ind w:left="641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akwen jest wykorzystywany do żeglugi i transportu morskiego;</w:t>
            </w:r>
          </w:p>
          <w:p>
            <w:pPr>
              <w:widowControl w:val="0"/>
              <w:numPr>
                <w:ilvl w:val="0"/>
                <w:numId w:val="3"/>
              </w:numPr>
              <w:spacing w:after="120"/>
              <w:ind w:left="641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akwen jest wykorzystywany do rybołówstwa z użyciem narzędzi stawnych (w części środkowej oraz wschodniej), z użyciem narzędzi ciągnionych (w części zachodniej oraz środkowej) oraz jako główna trasa na łowisko Rynny Słupskiej (w części środkowej);</w:t>
            </w:r>
          </w:p>
          <w:p>
            <w:pPr>
              <w:widowControl w:val="0"/>
              <w:numPr>
                <w:ilvl w:val="0"/>
                <w:numId w:val="3"/>
              </w:numPr>
              <w:spacing w:after="120"/>
              <w:ind w:left="641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akwenie istnieją dobre warunki do skutecznego tarła śledzia jesiennego oraz – na obszarze graniczącym z Ławicą Słupską –śledzia wiosennego;</w:t>
            </w:r>
          </w:p>
          <w:p>
            <w:pPr>
              <w:widowControl w:val="0"/>
              <w:numPr>
                <w:ilvl w:val="0"/>
                <w:numId w:val="3"/>
              </w:numPr>
              <w:spacing w:after="120"/>
              <w:ind w:left="641"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akwenie są prowadzone badania naukowe w ramach programów monitoringowych;</w:t>
            </w:r>
          </w:p>
          <w:p>
            <w:pPr>
              <w:pStyle w:val="OZNPROJEKTUwskazaniedatylubwersjiprojektu"/>
              <w:numPr>
                <w:ilvl w:val="0"/>
                <w:numId w:val="3"/>
              </w:numPr>
              <w:spacing w:after="120" w:line="276" w:lineRule="auto"/>
              <w:ind w:left="641" w:hanging="357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 xml:space="preserve">akwen jest wykorzystywany </w:t>
            </w:r>
            <w:r>
              <w:rPr>
                <w:sz w:val="22"/>
                <w:szCs w:val="22"/>
                <w:u w:val="none"/>
              </w:rPr>
              <w:t>do</w:t>
            </w:r>
            <w:r>
              <w:rPr>
                <w:rFonts w:cs="Times New Roman"/>
                <w:sz w:val="22"/>
                <w:szCs w:val="22"/>
                <w:u w:val="none"/>
              </w:rPr>
              <w:t xml:space="preserve"> żeglarstwa rekreacyjnego oraz turystyki wrakowej (w akwenie znajdują się wraki udostępnione do nurkowania);</w:t>
            </w:r>
          </w:p>
          <w:p>
            <w:pPr>
              <w:pStyle w:val="OZNPROJEKTUwskazaniedatylubwersjiprojektu"/>
              <w:numPr>
                <w:ilvl w:val="0"/>
                <w:numId w:val="3"/>
              </w:numPr>
              <w:spacing w:after="120" w:line="276" w:lineRule="auto"/>
              <w:ind w:left="641" w:hanging="357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>na podstawie decyzji Ministra Transportu, Budownictwa i Gospodarki Morskiej wydane zostało pozwolenie na wznoszenie i wykorzystywanie sztucznych wysp, konstrukcji i urządzeń w polskich obszarach morskich dla przedsięwzięcia pn. Morska Farma Wiatrowa Bałtyk Środkowy II;</w:t>
            </w:r>
          </w:p>
          <w:p>
            <w:pPr>
              <w:pStyle w:val="OZNPROJEKTUwskazaniedatylubwersjiprojektu"/>
              <w:numPr>
                <w:ilvl w:val="0"/>
                <w:numId w:val="3"/>
              </w:numPr>
              <w:spacing w:after="120" w:line="276" w:lineRule="auto"/>
              <w:ind w:left="641" w:hanging="357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 xml:space="preserve">na podstawie decyzji Ministra Transportu, Budownictwa i Gospodarki Morskiej wydane zostało pozwolenie na wznoszenie i wykorzystywanie sztucznych wysp, konstrukcji i urządzeń w polskich obszarach morskich dla przedsięwzięcia pn. Morska Farma Wiatrowa Baltica 2; </w:t>
            </w:r>
          </w:p>
          <w:p>
            <w:pPr>
              <w:pStyle w:val="OZNPROJEKTUwskazaniedatylubwersjiprojektu"/>
              <w:numPr>
                <w:ilvl w:val="0"/>
                <w:numId w:val="3"/>
              </w:numPr>
              <w:spacing w:after="120" w:line="276" w:lineRule="auto"/>
              <w:ind w:left="641" w:hanging="357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>na podstawie decyzji Ministra Transportu, Budownictwa i Gospodarki Morskiej wydane zostało pozwolenie na wznoszenie i wykorzystywanie sztucznych wysp, konstrukcji i urządzeń w polskich obszarach morskich dla przedsięwzięcia pn. Morska Farma Wiatrowa Bałtyk Środkowy III;</w:t>
            </w:r>
          </w:p>
          <w:p>
            <w:pPr>
              <w:pStyle w:val="OZNPROJEKTUwskazaniedatylubwersjiprojektu"/>
              <w:numPr>
                <w:ilvl w:val="0"/>
                <w:numId w:val="3"/>
              </w:numPr>
              <w:spacing w:after="120" w:line="276" w:lineRule="auto"/>
              <w:ind w:left="641" w:hanging="357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>na podstawie decyzji Ministra Transportu, Budownictwa i Gospodarki Morskiej wydane zostało pozwolenie na wznoszenie i wykorzystywanie sztucznych wysp, konstrukcji i urządzeń w polskich obszarach morskich dla przedsięwzięcia pn. Morska Farma Wiatrowa Baltica 3;</w:t>
            </w:r>
          </w:p>
          <w:p>
            <w:pPr>
              <w:pStyle w:val="OZNPROJEKTUwskazaniedatylubwersjiprojektu"/>
              <w:numPr>
                <w:ilvl w:val="0"/>
                <w:numId w:val="3"/>
              </w:numPr>
              <w:spacing w:after="120" w:line="276" w:lineRule="auto"/>
              <w:ind w:left="641" w:hanging="357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>na podstawie decyzji Ministra Transportu, Budownictwa i Gospodarki Morskiej wydane zostało pozwolenie na wznoszenie i wykorzystywanie sztucznych wysp, konstrukcji i urządzeń w polskich obszarach morskich dla przedsięwzięcia pn. Morska Farma Wiatrowa Baltic Power;</w:t>
            </w:r>
          </w:p>
          <w:p>
            <w:pPr>
              <w:pStyle w:val="OZNPROJEKTUwskazaniedatylubwersjiprojektu"/>
              <w:numPr>
                <w:ilvl w:val="0"/>
                <w:numId w:val="3"/>
              </w:numPr>
              <w:spacing w:after="120" w:line="276" w:lineRule="auto"/>
              <w:ind w:left="641" w:hanging="357"/>
              <w:jc w:val="left"/>
              <w:rPr>
                <w:rFonts w:cs="Times New Roman"/>
                <w:sz w:val="22"/>
                <w:szCs w:val="22"/>
                <w:u w:val="none"/>
              </w:rPr>
            </w:pPr>
            <w:r>
              <w:rPr>
                <w:rFonts w:cs="Times New Roman"/>
                <w:sz w:val="22"/>
                <w:szCs w:val="22"/>
                <w:u w:val="none"/>
              </w:rPr>
              <w:t>na podstawie decyzji Ministra Transportu, Budownictwa i Gospodarki Morskiej wydane zostało pozwolenie na układanie i utrzymywanie na obszarze wyłącznej strefy ekonomicznej RP kabli podmorskich odprowadzających energię elektryczną z morskiej farmy wiatrowej Bałtyk Środkowy III na ląd.</w:t>
            </w:r>
          </w:p>
        </w:tc>
      </w:tr>
      <w:tr>
        <w:trPr>
          <w:trHeight w:val="315"/>
        </w:trPr>
        <w:tc>
          <w:tcPr>
            <w:tcW w:w="9805" w:type="dxa"/>
            <w:gridSpan w:val="4"/>
            <w:shd w:val="clear" w:color="auto" w:fill="D9D9D9"/>
          </w:tcPr>
          <w:p>
            <w:pPr>
              <w:pStyle w:val="TYTTABELItytutabeli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inne istotne informacje</w:t>
            </w:r>
          </w:p>
        </w:tc>
      </w:tr>
      <w:tr>
        <w:trPr>
          <w:trHeight w:val="270"/>
        </w:trPr>
        <w:tc>
          <w:tcPr>
            <w:tcW w:w="9805" w:type="dxa"/>
            <w:gridSpan w:val="4"/>
          </w:tcPr>
          <w:p>
            <w:pPr>
              <w:pStyle w:val="TYTTABELItytutabeli"/>
              <w:numPr>
                <w:ilvl w:val="0"/>
                <w:numId w:val="4"/>
              </w:numPr>
              <w:spacing w:before="0" w:after="120" w:line="276" w:lineRule="auto"/>
              <w:ind w:hanging="357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REKOMENDACJE:</w:t>
            </w:r>
          </w:p>
          <w:p>
            <w:pPr>
              <w:widowControl w:val="0"/>
              <w:numPr>
                <w:ilvl w:val="1"/>
                <w:numId w:val="4"/>
              </w:numPr>
              <w:spacing w:after="120"/>
              <w:ind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rekomenduje się ustanowienie 100-metrowej strefy bezpieczeństwa wokół każdej funkcjonującej konstrukcji morskiej elektrowni wiatrowej;</w:t>
            </w:r>
          </w:p>
          <w:p>
            <w:pPr>
              <w:widowControl w:val="0"/>
              <w:numPr>
                <w:ilvl w:val="1"/>
                <w:numId w:val="4"/>
              </w:numPr>
              <w:spacing w:after="120"/>
              <w:ind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rekomenduje się takie rozplanowanie inwestycji, aby umożliwić wytyczenie korytarza transportowego dla jednostek do 150 m długości;</w:t>
            </w:r>
          </w:p>
          <w:p>
            <w:pPr>
              <w:widowControl w:val="0"/>
              <w:numPr>
                <w:ilvl w:val="1"/>
                <w:numId w:val="4"/>
              </w:numPr>
              <w:spacing w:after="120"/>
              <w:ind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dla każdej inwestycji przed wydaniem pozwolenia na budowę rekomenduje się opracowanie zasad prowadzenia rybołówstwa na obszarze morskich farm wiatrowych. Zasady powinny być opracowane w zespole koordynowanym przez ministra właściwego ds. rybołówstwa w porozumieniu z ministrem właściwym ds. energii oraz ministrem właściwym ds. gospodarki, ministrem właściwym ds. gospodarki morskiej, w skład którego będzie wchodziła reprezentacja przedstawicieli branży morskiej energetyki wiatrowej;</w:t>
            </w:r>
          </w:p>
          <w:p>
            <w:pPr>
              <w:widowControl w:val="0"/>
              <w:numPr>
                <w:ilvl w:val="1"/>
                <w:numId w:val="4"/>
              </w:numPr>
              <w:spacing w:after="120"/>
              <w:ind w:hanging="35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w związku z istniejącymi na obszarze dobrymi warunkami dla rozrodu ryb zaleca się rozszerzenie zakresu raportu o oddziaływaniu na środowisko </w:t>
            </w:r>
            <w:r>
              <w:rPr>
                <w:rFonts w:ascii="Times New Roman" w:hAnsi="Times New Roman"/>
                <w:bCs/>
                <w:kern w:val="24"/>
              </w:rPr>
              <w:t xml:space="preserve">dla przedsięwzięć w akwenie </w:t>
            </w:r>
            <w:r>
              <w:rPr>
                <w:rFonts w:ascii="Times New Roman" w:hAnsi="Times New Roman"/>
                <w:bCs/>
                <w:kern w:val="24"/>
              </w:rPr>
              <w:br/>
              <w:t xml:space="preserve">o wpływ tych przedsięwzięć </w:t>
            </w:r>
            <w:r>
              <w:rPr>
                <w:rFonts w:ascii="Times New Roman" w:hAnsi="Times New Roman"/>
              </w:rPr>
              <w:t xml:space="preserve">na zasoby i rekrutację ryb ważnych dla rybołówstwa; </w:t>
            </w:r>
          </w:p>
          <w:p>
            <w:pPr>
              <w:widowControl w:val="0"/>
              <w:numPr>
                <w:ilvl w:val="1"/>
                <w:numId w:val="4"/>
              </w:numPr>
              <w:spacing w:after="120"/>
              <w:ind w:hanging="35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ocena oddziaływania na środowisko dla inwestycji morskich farm wiatrowych powinna uwzględniać wpływ generowania pól fizycznych </w:t>
            </w:r>
            <w:r>
              <w:rPr>
                <w:rFonts w:ascii="Times New Roman" w:hAnsi="Times New Roman"/>
              </w:rPr>
              <w:t xml:space="preserve">(pole elektromagnetyczne), możliwe skumulowane negatywne oddziaływanie z sąsiednimi morskimi farmami wiatrowymi oraz ryzyko </w:t>
            </w:r>
            <w:r>
              <w:rPr>
                <w:rFonts w:ascii="Times New Roman" w:hAnsi="Times New Roman"/>
                <w:color w:val="000000"/>
              </w:rPr>
              <w:t>awarii związanych z kolizjami, także w sytuacjach nadzwyczajnych</w:t>
            </w:r>
            <w:r>
              <w:rPr>
                <w:rFonts w:ascii="Times New Roman" w:hAnsi="Times New Roman"/>
              </w:rPr>
              <w:t>;</w:t>
            </w:r>
          </w:p>
          <w:p>
            <w:pPr>
              <w:widowControl w:val="0"/>
              <w:numPr>
                <w:ilvl w:val="1"/>
                <w:numId w:val="4"/>
              </w:numPr>
              <w:spacing w:after="120"/>
              <w:ind w:hanging="3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zaleca się przesyłanie wytworzonej w akwenie energii przy użyciu zintegrowanej infrastruktury sieciowej, jeśli będzie to możliwe pod względem środowiskowym, ekonomicznym i zgodnym z warunkami technicznymi przyłączenia do sieci wydanymi przez Polskie Sieci Elektroenergetyczne.</w:t>
            </w:r>
            <w:bookmarkStart w:id="1" w:name="_GoBack"/>
            <w:bookmarkEnd w:id="1"/>
          </w:p>
        </w:tc>
      </w:tr>
    </w:tbl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21.1pt;height:12.75pt" o:bullet="t">
        <v:imagedata r:id="rId1" o:title=""/>
      </v:shape>
    </w:pict>
  </w:numPicBullet>
  <w:abstractNum w:abstractNumId="0" w15:restartNumberingAfterBreak="0">
    <w:nsid w:val="0BD93619"/>
    <w:multiLevelType w:val="multilevel"/>
    <w:tmpl w:val="85EEA38A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cs="Times New Roman" w:hint="default"/>
        <w:b w:val="0"/>
        <w:i w:val="0"/>
        <w:caps w:val="0"/>
      </w:rPr>
    </w:lvl>
    <w:lvl w:ilvl="2">
      <w:start w:val="1"/>
      <w:numFmt w:val="bullet"/>
      <w:lvlText w:val=""/>
      <w:lvlJc w:val="left"/>
      <w:pPr>
        <w:ind w:left="2192" w:hanging="288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PicBulletId w:val="0"/>
      <w:lvlJc w:val="left"/>
      <w:pPr>
        <w:ind w:left="280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default"/>
      </w:rPr>
    </w:lvl>
  </w:abstractNum>
  <w:abstractNum w:abstractNumId="1" w15:restartNumberingAfterBreak="0">
    <w:nsid w:val="12CF31D3"/>
    <w:multiLevelType w:val="multilevel"/>
    <w:tmpl w:val="85EEA38A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cs="Times New Roman" w:hint="default"/>
        <w:b w:val="0"/>
        <w:i w:val="0"/>
        <w:caps w:val="0"/>
      </w:rPr>
    </w:lvl>
    <w:lvl w:ilvl="2">
      <w:start w:val="1"/>
      <w:numFmt w:val="bullet"/>
      <w:lvlText w:val=""/>
      <w:lvlJc w:val="left"/>
      <w:pPr>
        <w:ind w:left="2192" w:hanging="288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PicBulletId w:val="0"/>
      <w:lvlJc w:val="left"/>
      <w:pPr>
        <w:ind w:left="280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default"/>
      </w:rPr>
    </w:lvl>
  </w:abstractNum>
  <w:abstractNum w:abstractNumId="2" w15:restartNumberingAfterBreak="0">
    <w:nsid w:val="3A4F2872"/>
    <w:multiLevelType w:val="multilevel"/>
    <w:tmpl w:val="85EEA38A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cs="Times New Roman" w:hint="default"/>
        <w:b w:val="0"/>
        <w:i w:val="0"/>
        <w:caps w:val="0"/>
      </w:rPr>
    </w:lvl>
    <w:lvl w:ilvl="2">
      <w:start w:val="1"/>
      <w:numFmt w:val="bullet"/>
      <w:lvlText w:val=""/>
      <w:lvlJc w:val="left"/>
      <w:pPr>
        <w:ind w:left="2192" w:hanging="288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PicBulletId w:val="0"/>
      <w:lvlJc w:val="left"/>
      <w:pPr>
        <w:ind w:left="280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default"/>
      </w:rPr>
    </w:lvl>
  </w:abstractNum>
  <w:abstractNum w:abstractNumId="3" w15:restartNumberingAfterBreak="0">
    <w:nsid w:val="436535C6"/>
    <w:multiLevelType w:val="multilevel"/>
    <w:tmpl w:val="1772B4F0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i w:val="0"/>
        <w:caps w:val="0"/>
        <w:sz w:val="22"/>
        <w:szCs w:val="22"/>
      </w:rPr>
    </w:lvl>
    <w:lvl w:ilvl="2">
      <w:start w:val="1"/>
      <w:numFmt w:val="bullet"/>
      <w:lvlText w:val=""/>
      <w:lvlJc w:val="left"/>
      <w:pPr>
        <w:ind w:left="2268" w:hanging="288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62023DC7"/>
    <w:multiLevelType w:val="multilevel"/>
    <w:tmpl w:val="85EEA38A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cs="Times New Roman" w:hint="default"/>
        <w:b w:val="0"/>
        <w:i w:val="0"/>
        <w:caps w:val="0"/>
      </w:rPr>
    </w:lvl>
    <w:lvl w:ilvl="2">
      <w:start w:val="1"/>
      <w:numFmt w:val="bullet"/>
      <w:lvlText w:val=""/>
      <w:lvlJc w:val="left"/>
      <w:pPr>
        <w:ind w:left="2192" w:hanging="288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PicBulletId w:val="0"/>
      <w:lvlJc w:val="left"/>
      <w:pPr>
        <w:ind w:left="280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default"/>
      </w:rPr>
    </w:lvl>
  </w:abstractNum>
  <w:abstractNum w:abstractNumId="5" w15:restartNumberingAfterBreak="0">
    <w:nsid w:val="6E9400BF"/>
    <w:multiLevelType w:val="multilevel"/>
    <w:tmpl w:val="6164CAC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i w:val="0"/>
        <w:caps w:val="0"/>
      </w:rPr>
    </w:lvl>
    <w:lvl w:ilvl="2">
      <w:start w:val="1"/>
      <w:numFmt w:val="bullet"/>
      <w:lvlText w:val=""/>
      <w:lvlJc w:val="left"/>
      <w:pPr>
        <w:ind w:left="2268" w:hanging="288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73196194"/>
    <w:multiLevelType w:val="multilevel"/>
    <w:tmpl w:val="85EEA38A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cs="Times New Roman" w:hint="default"/>
        <w:b w:val="0"/>
        <w:i w:val="0"/>
        <w:caps w:val="0"/>
      </w:rPr>
    </w:lvl>
    <w:lvl w:ilvl="2">
      <w:start w:val="1"/>
      <w:numFmt w:val="bullet"/>
      <w:lvlText w:val=""/>
      <w:lvlJc w:val="left"/>
      <w:pPr>
        <w:ind w:left="2192" w:hanging="288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PicBulletId w:val="0"/>
      <w:lvlJc w:val="left"/>
      <w:pPr>
        <w:ind w:left="2804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 w:hint="default"/>
      </w:rPr>
    </w:lvl>
  </w:abstractNum>
  <w:abstractNum w:abstractNumId="7" w15:restartNumberingAfterBreak="0">
    <w:nsid w:val="795E6B59"/>
    <w:multiLevelType w:val="multilevel"/>
    <w:tmpl w:val="B4546A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i w:val="0"/>
        <w:caps w:val="0"/>
      </w:rPr>
    </w:lvl>
    <w:lvl w:ilvl="2">
      <w:start w:val="1"/>
      <w:numFmt w:val="bullet"/>
      <w:lvlText w:val=""/>
      <w:lvlJc w:val="left"/>
      <w:pPr>
        <w:ind w:left="2268" w:hanging="288"/>
      </w:pPr>
      <w:rPr>
        <w:rFonts w:ascii="Symbol" w:hAnsi="Symbol" w:hint="default"/>
        <w:sz w:val="18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D39B58-CAEC-43E1-978B-63175D29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uppressAutoHyphens/>
      <w:spacing w:before="48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Pr>
      <w:rFonts w:ascii="Calibri Light" w:eastAsia="Times New Roman" w:hAnsi="Calibri Light" w:cs="Times New Roman"/>
      <w:b/>
      <w:bCs/>
      <w:color w:val="2F5496"/>
      <w:kern w:val="1"/>
      <w:sz w:val="28"/>
      <w:szCs w:val="28"/>
      <w:lang w:val="x-none" w:eastAsia="ar-SA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pPr>
      <w:ind w:left="1497"/>
    </w:pPr>
  </w:style>
  <w:style w:type="paragraph" w:customStyle="1" w:styleId="LITlitera">
    <w:name w:val="LIT – litera"/>
    <w:basedOn w:val="PKTpunkt"/>
    <w:uiPriority w:val="14"/>
    <w:qFormat/>
    <w:pPr>
      <w:ind w:left="986" w:hanging="476"/>
    </w:pPr>
  </w:style>
  <w:style w:type="paragraph" w:customStyle="1" w:styleId="PKTpunkt">
    <w:name w:val="PKT – punkt"/>
    <w:uiPriority w:val="13"/>
    <w:qFormat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pPr>
      <w:ind w:left="1894"/>
    </w:pPr>
  </w:style>
  <w:style w:type="paragraph" w:customStyle="1" w:styleId="TIRtiret">
    <w:name w:val="TIR – tiret"/>
    <w:basedOn w:val="LITlitera"/>
    <w:uiPriority w:val="15"/>
    <w:qFormat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pPr>
      <w:spacing w:before="0"/>
    </w:pPr>
    <w:rPr>
      <w:bCs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pPr>
      <w:ind w:left="1780"/>
    </w:pPr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  <w:suppressAutoHyphens/>
    </w:pPr>
    <w:rPr>
      <w:rFonts w:ascii="Times" w:hAnsi="Times"/>
      <w:kern w:val="1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Pr>
      <w:rFonts w:ascii="Times" w:eastAsia="Times New Roman" w:hAnsi="Times" w:cs="Times New Roman"/>
      <w:kern w:val="1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uppressAutoHyphens/>
    </w:pPr>
    <w:rPr>
      <w:rFonts w:ascii="Times" w:hAnsi="Times"/>
      <w:kern w:val="1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" w:eastAsia="Times New Roman" w:hAnsi="Times" w:cs="Times New Roman"/>
      <w:kern w:val="1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pPr>
      <w:suppressAutoHyphens/>
    </w:pPr>
    <w:rPr>
      <w:rFonts w:ascii="Tahoma" w:hAnsi="Tahoma" w:cs="Tahoma"/>
      <w:kern w:val="1"/>
      <w:sz w:val="16"/>
      <w:szCs w:val="16"/>
      <w:lang w:val="x-none"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eastAsia="Times New Roman" w:hAnsi="Tahoma" w:cs="Tahoma"/>
      <w:kern w:val="1"/>
      <w:sz w:val="16"/>
      <w:szCs w:val="16"/>
      <w:lang w:val="x-none"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</w:style>
  <w:style w:type="paragraph" w:customStyle="1" w:styleId="ZLITzmlitartykuempunktem">
    <w:name w:val="Z/LIT – zm. lit. artykułem (punktem)"/>
    <w:basedOn w:val="LITlitera"/>
    <w:uiPriority w:val="32"/>
    <w:qFormat/>
  </w:style>
  <w:style w:type="paragraph" w:styleId="Bezodstpw">
    <w:name w:val="No Spacing"/>
    <w:uiPriority w:val="99"/>
    <w:qFormat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Pr>
      <w:rFonts w:ascii="Times" w:hAnsi="Times"/>
      <w:sz w:val="24"/>
      <w:szCs w:val="24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Times" w:eastAsia="Times New Roman" w:hAnsi="Times" w:cs="Times New Roman"/>
      <w:sz w:val="24"/>
      <w:szCs w:val="24"/>
      <w:lang w:val="x-none" w:eastAsia="pl-PL"/>
    </w:rPr>
  </w:style>
  <w:style w:type="paragraph" w:customStyle="1" w:styleId="ZTIRLITzmlittiret">
    <w:name w:val="Z_TIR/LIT – zm. lit. tiret"/>
    <w:basedOn w:val="LITlitera"/>
    <w:uiPriority w:val="57"/>
    <w:qFormat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</w:style>
  <w:style w:type="paragraph" w:customStyle="1" w:styleId="ZTIR2TIRzmpodwtirtiret">
    <w:name w:val="Z_TIR/2TIR – zm. podw. tir. tiret"/>
    <w:basedOn w:val="TIRtiret"/>
    <w:uiPriority w:val="78"/>
    <w:qFormat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pPr>
      <w:ind w:left="510"/>
    </w:pPr>
    <w:rPr>
      <w:b w:val="0"/>
    </w:rPr>
  </w:style>
  <w:style w:type="character" w:styleId="Odwoaniedokomentarza">
    <w:name w:val="annotation reference"/>
    <w:uiPriority w:val="9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rFonts w:ascii="Times" w:hAnsi="Times"/>
      <w:sz w:val="24"/>
      <w:szCs w:val="24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" w:eastAsia="Times New Roman" w:hAnsi="Times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" w:eastAsia="Times New Roman" w:hAnsi="Times" w:cs="Times New Roman"/>
      <w:b/>
      <w:bCs/>
      <w:sz w:val="24"/>
      <w:szCs w:val="24"/>
      <w:lang w:val="x-none" w:eastAsia="pl-PL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pPr>
      <w:ind w:left="2404"/>
    </w:pPr>
  </w:style>
  <w:style w:type="paragraph" w:customStyle="1" w:styleId="ODNONIKtreodnonika">
    <w:name w:val="ODNOŚNIK – treść odnośnika"/>
    <w:uiPriority w:val="19"/>
    <w:qFormat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</w:style>
  <w:style w:type="paragraph" w:customStyle="1" w:styleId="ZZ2TIRzmianazmpodwtir">
    <w:name w:val="ZZ/2TIR – zmiana zm. podw. tir."/>
    <w:basedOn w:val="ZZCZWSP2TIRzmianazmczciwsppodwtir"/>
    <w:uiPriority w:val="93"/>
    <w:qFormat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99"/>
    <w:qFormat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</w:style>
  <w:style w:type="paragraph" w:customStyle="1" w:styleId="TEKSTZacznikido">
    <w:name w:val="TEKST&quot;Załącznik(i) do ...&quot;"/>
    <w:uiPriority w:val="28"/>
    <w:qFormat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</w:style>
  <w:style w:type="paragraph" w:customStyle="1" w:styleId="Z2TIRPKTzmpktpodwjnymtiret">
    <w:name w:val="Z_2TIR/PKT – zm. pkt podwójnym tiret"/>
    <w:basedOn w:val="Z2TIRLITzmlitpodwjnymtiret"/>
    <w:uiPriority w:val="83"/>
    <w:qFormat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pPr>
      <w:ind w:left="1780"/>
    </w:pPr>
  </w:style>
  <w:style w:type="character" w:customStyle="1" w:styleId="IGindeksgrny">
    <w:name w:val="_IG_ – indeks górny"/>
    <w:uiPriority w:val="2"/>
    <w:qFormat/>
    <w:rPr>
      <w:rFonts w:cs="Times New Roman"/>
      <w:spacing w:val="0"/>
      <w:vertAlign w:val="superscript"/>
    </w:rPr>
  </w:style>
  <w:style w:type="character" w:customStyle="1" w:styleId="IDindeksdolny">
    <w:name w:val="_ID_ – indeks dolny"/>
    <w:uiPriority w:val="3"/>
    <w:qFormat/>
    <w:rPr>
      <w:rFonts w:cs="Times New Roman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Pr>
      <w:rFonts w:cs="Times New Roman"/>
      <w:b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Pr>
      <w:rFonts w:cs="Times New Roman"/>
      <w:i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Pr>
      <w:rFonts w:cs="Times New Roman"/>
      <w:b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Pr>
      <w:rFonts w:cs="Times New Roman"/>
      <w:i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Pr>
      <w:rFonts w:cs="Times New Roman"/>
      <w:b/>
      <w:i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Pr>
      <w:rFonts w:cs="Times New Roman"/>
      <w:b/>
      <w:i/>
      <w:spacing w:val="0"/>
      <w:vertAlign w:val="subscript"/>
    </w:rPr>
  </w:style>
  <w:style w:type="character" w:customStyle="1" w:styleId="Ppogrubienie">
    <w:name w:val="_P_ – pogrubienie"/>
    <w:uiPriority w:val="1"/>
    <w:qFormat/>
    <w:rPr>
      <w:rFonts w:cs="Times New Roman"/>
      <w:b/>
    </w:rPr>
  </w:style>
  <w:style w:type="character" w:customStyle="1" w:styleId="Kkursywa">
    <w:name w:val="_K_ – kursywa"/>
    <w:uiPriority w:val="1"/>
    <w:qFormat/>
    <w:rPr>
      <w:rFonts w:cs="Times New Roman"/>
      <w:i/>
    </w:rPr>
  </w:style>
  <w:style w:type="character" w:customStyle="1" w:styleId="PKpogrubieniekursywa">
    <w:name w:val="_P_K_ – pogrubienie kursywa"/>
    <w:uiPriority w:val="1"/>
    <w:qFormat/>
    <w:rPr>
      <w:rFonts w:cs="Times New Roman"/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Pr>
      <w:rFonts w:cs="Times New Roman"/>
      <w:color w:val="FF0000"/>
      <w:u w:val="single" w:color="FF0000"/>
    </w:rPr>
  </w:style>
  <w:style w:type="character" w:customStyle="1" w:styleId="BEZWERSALIKW">
    <w:name w:val="_BEZ_WERSALIKÓW_"/>
    <w:uiPriority w:val="4"/>
    <w:qFormat/>
    <w:rPr>
      <w:rFonts w:cs="Times New Roman"/>
      <w:caps/>
    </w:rPr>
  </w:style>
  <w:style w:type="character" w:customStyle="1" w:styleId="IIGPindeksgrnyindeksugrnegoipogrubienie">
    <w:name w:val="_IIG_P_ – indeks górny indeksu górnego i pogrubienie"/>
    <w:uiPriority w:val="3"/>
    <w:qFormat/>
    <w:rPr>
      <w:rFonts w:cs="Times New Roman"/>
      <w:b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Pr>
      <w:rFonts w:cs="Times New Roman"/>
      <w:b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pPr>
      <w:ind w:left="1780"/>
    </w:pPr>
  </w:style>
  <w:style w:type="table" w:styleId="Tabela-Siatka">
    <w:name w:val="Table Grid"/>
    <w:basedOn w:val="Standardowy"/>
    <w:uiPriority w:val="59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uiPriority w:val="9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blStylePr w:type="firstRow">
      <w:rPr>
        <w:rFonts w:cs="Times New Roman"/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tblPr/>
    <w:tblStylePr w:type="firstRow">
      <w:rPr>
        <w:rFonts w:cs="Times New Roman"/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rPr>
        <w:rFonts w:cs="Times New Roman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rPr>
        <w:rFonts w:cs="Times New Roman"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uiPriority w:val="99"/>
    <w:semiHidden/>
    <w:rPr>
      <w:rFonts w:cs="Times New Roman"/>
      <w:color w:val="808080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  <w:rPr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Calibri" w:eastAsia="Times New Roman" w:hAnsi="Calibri" w:cs="Times New Roman"/>
      <w:sz w:val="20"/>
      <w:szCs w:val="20"/>
      <w:lang w:val="x-none"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pPr>
      <w:spacing w:before="120" w:line="240" w:lineRule="auto"/>
      <w:ind w:firstLine="210"/>
      <w:jc w:val="both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styleId="Uwydatnienie">
    <w:name w:val="Emphasis"/>
    <w:uiPriority w:val="20"/>
    <w:qFormat/>
    <w:rPr>
      <w:i/>
    </w:rPr>
  </w:style>
  <w:style w:type="character" w:styleId="Hipercze">
    <w:name w:val="Hyperlink"/>
    <w:uiPriority w:val="99"/>
    <w:semiHidden/>
    <w:unhideWhenUsed/>
    <w:rPr>
      <w:rFonts w:cs="Times New Roman"/>
      <w:color w:val="0563C1"/>
      <w:u w:val="single"/>
    </w:rPr>
  </w:style>
  <w:style w:type="character" w:styleId="UyteHipercze">
    <w:name w:val="FollowedHyperlink"/>
    <w:uiPriority w:val="99"/>
    <w:semiHidden/>
    <w:unhideWhenUsed/>
    <w:rPr>
      <w:rFonts w:cs="Times New Roman"/>
      <w:color w:val="954F72"/>
      <w:u w:val="single"/>
    </w:rPr>
  </w:style>
  <w:style w:type="paragraph" w:customStyle="1" w:styleId="msonormal0">
    <w:name w:val="msonormal"/>
    <w:basedOn w:val="Normalny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</w:style>
  <w:style w:type="paragraph" w:customStyle="1" w:styleId="xl66">
    <w:name w:val="xl6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</w:style>
  <w:style w:type="paragraph" w:customStyle="1" w:styleId="xl67">
    <w:name w:val="xl67"/>
    <w:basedOn w:val="Normalny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AkapitzlistZnak">
    <w:name w:val="Akapit z listą Znak"/>
    <w:link w:val="Akapitzlist"/>
    <w:uiPriority w:val="34"/>
    <w:locked/>
    <w:rPr>
      <w:rFonts w:ascii="Calibri" w:eastAsia="Times New Roman" w:hAnsi="Calibri" w:cs="Times New Roman"/>
      <w:sz w:val="20"/>
      <w:szCs w:val="20"/>
      <w:lang w:val="x-none" w:eastAsia="pl-PL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hUwtext">
    <w:name w:val="ChUw text"/>
    <w:basedOn w:val="Normalny"/>
    <w:link w:val="ChUwtextZnak"/>
    <w:qFormat/>
    <w:pPr>
      <w:widowControl w:val="0"/>
      <w:autoSpaceDE w:val="0"/>
      <w:autoSpaceDN w:val="0"/>
      <w:adjustRightInd w:val="0"/>
      <w:spacing w:before="120" w:after="0" w:line="360" w:lineRule="auto"/>
      <w:jc w:val="both"/>
    </w:pPr>
    <w:rPr>
      <w:rFonts w:ascii="Times New Roman" w:hAnsi="Times New Roman"/>
      <w:sz w:val="20"/>
      <w:szCs w:val="20"/>
      <w:lang w:val="x-none"/>
    </w:rPr>
  </w:style>
  <w:style w:type="character" w:customStyle="1" w:styleId="ChUwtextZnak">
    <w:name w:val="ChUw text Znak"/>
    <w:link w:val="ChUwtext"/>
    <w:locked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h2">
    <w:name w:val="h2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unhideWhenUsed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TML-staaszeroko">
    <w:name w:val="HTML Typewriter"/>
    <w:uiPriority w:val="99"/>
    <w:semiHidden/>
    <w:unhideWhenUs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1740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Matczak</dc:creator>
  <cp:keywords/>
  <dc:description/>
  <cp:lastModifiedBy>Magdalena Matczak</cp:lastModifiedBy>
  <cp:revision>2</cp:revision>
  <dcterms:created xsi:type="dcterms:W3CDTF">2019-05-29T08:39:00Z</dcterms:created>
  <dcterms:modified xsi:type="dcterms:W3CDTF">2019-05-29T08:44:00Z</dcterms:modified>
</cp:coreProperties>
</file>