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 Ustala się rozstrzygnięcia szczegółowe dla akwenu POM.06.C, określone w karcie akwenu.</w:t>
      </w:r>
    </w:p>
    <w:tbl>
      <w:tblPr>
        <w:tblpPr w:leftFromText="142" w:rightFromText="142" w:vertAnchor="text" w:horzAnchor="margin" w:tblpY="1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928"/>
        <w:gridCol w:w="2184"/>
        <w:gridCol w:w="1870"/>
        <w:gridCol w:w="3528"/>
      </w:tblGrid>
      <w:tr>
        <w:trPr>
          <w:trHeight w:val="600"/>
        </w:trPr>
        <w:tc>
          <w:tcPr>
            <w:tcW w:w="5982" w:type="dxa"/>
            <w:gridSpan w:val="3"/>
            <w:vMerge w:val="restart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akwenu</w:t>
            </w:r>
          </w:p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POM.06.C</w:t>
            </w:r>
          </w:p>
        </w:tc>
        <w:tc>
          <w:tcPr>
            <w:tcW w:w="3528" w:type="dxa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oznaczenie literowe</w:t>
            </w:r>
          </w:p>
        </w:tc>
      </w:tr>
      <w:tr>
        <w:trPr>
          <w:trHeight w:val="659"/>
        </w:trPr>
        <w:tc>
          <w:tcPr>
            <w:tcW w:w="5982" w:type="dxa"/>
            <w:gridSpan w:val="3"/>
            <w:vMerge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>
        <w:trPr>
          <w:trHeight w:val="1064"/>
        </w:trPr>
        <w:tc>
          <w:tcPr>
            <w:tcW w:w="1928" w:type="dxa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numer akwenu</w:t>
            </w:r>
          </w:p>
        </w:tc>
        <w:tc>
          <w:tcPr>
            <w:tcW w:w="2184" w:type="dxa"/>
          </w:tcPr>
          <w:p>
            <w:pPr>
              <w:pStyle w:val="TYTTABELItytutabeli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06</w:t>
            </w:r>
          </w:p>
        </w:tc>
        <w:tc>
          <w:tcPr>
            <w:tcW w:w="1870" w:type="dxa"/>
            <w:vMerge w:val="restart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opis położenia</w:t>
            </w:r>
          </w:p>
        </w:tc>
        <w:tc>
          <w:tcPr>
            <w:tcW w:w="3528" w:type="dxa"/>
            <w:vMerge w:val="restart"/>
            <w:vAlign w:val="center"/>
          </w:tcPr>
          <w:tbl>
            <w:tblPr>
              <w:tblW w:w="3210" w:type="dxa"/>
              <w:jc w:val="center"/>
              <w:tblBorders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1559"/>
              <w:gridCol w:w="1418"/>
            </w:tblGrid>
            <w:tr>
              <w:trPr>
                <w:trHeight w:val="300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54° 9' 33.791" 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15° 23' 23.999" E</w:t>
                  </w:r>
                </w:p>
              </w:tc>
            </w:tr>
            <w:tr>
              <w:trPr>
                <w:trHeight w:val="300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54° 3' 8.450" 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14° 52' 57.738" E</w:t>
                  </w:r>
                </w:p>
              </w:tc>
            </w:tr>
            <w:tr>
              <w:trPr>
                <w:trHeight w:val="300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54° 4' 40.498" 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14° 52' 4.867" E</w:t>
                  </w:r>
                </w:p>
              </w:tc>
            </w:tr>
            <w:tr>
              <w:trPr>
                <w:trHeight w:val="300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54° 9' 35.216" 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15° 13' 43.116" E</w:t>
                  </w:r>
                </w:p>
              </w:tc>
            </w:tr>
            <w:tr>
              <w:trPr>
                <w:trHeight w:val="300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54° 10' 26.144" 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15° 16' 9.999" E</w:t>
                  </w:r>
                </w:p>
              </w:tc>
            </w:tr>
            <w:tr>
              <w:trPr>
                <w:trHeight w:val="300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54° 11' 14.507" 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15° 23' 24.000" E</w:t>
                  </w:r>
                </w:p>
              </w:tc>
            </w:tr>
          </w:tbl>
          <w:p>
            <w:pPr>
              <w:pStyle w:val="TYTTABELItytutabeli"/>
              <w:spacing w:line="240" w:lineRule="auto"/>
              <w:rPr>
                <w:rFonts w:ascii="Times New Roman" w:hAnsi="Times New Roman" w:cs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18"/>
              </w:rPr>
              <w:t xml:space="preserve">pełny wykaz współrzędnych znajduje się </w:t>
            </w:r>
            <w:r>
              <w:rPr>
                <w:rFonts w:ascii="Times New Roman" w:hAnsi="Times New Roman" w:cs="Times New Roman"/>
                <w:b w:val="0"/>
                <w:caps w:val="0"/>
                <w:sz w:val="18"/>
              </w:rPr>
              <w:br/>
              <w:t>w § 14.6 Załącznika nr 1 – Ustalenia ogólne</w:t>
            </w:r>
          </w:p>
        </w:tc>
      </w:tr>
      <w:tr>
        <w:trPr>
          <w:trHeight w:val="1064"/>
        </w:trPr>
        <w:tc>
          <w:tcPr>
            <w:tcW w:w="1928" w:type="dxa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pole powierzchni</w:t>
            </w:r>
          </w:p>
        </w:tc>
        <w:tc>
          <w:tcPr>
            <w:tcW w:w="2184" w:type="dxa"/>
          </w:tcPr>
          <w:p>
            <w:pPr>
              <w:pStyle w:val="TYTTABELItytutabeli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</w:rPr>
              <w:t>108,18 km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vertAlign w:val="superscript"/>
              </w:rPr>
              <w:t>2</w:t>
            </w:r>
          </w:p>
        </w:tc>
        <w:tc>
          <w:tcPr>
            <w:tcW w:w="1870" w:type="dxa"/>
            <w:vMerge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8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funkcja podstawowa</w:t>
            </w:r>
          </w:p>
        </w:tc>
      </w:tr>
      <w:tr>
        <w:trPr>
          <w:trHeight w:val="405"/>
        </w:trPr>
        <w:tc>
          <w:tcPr>
            <w:tcW w:w="9510" w:type="dxa"/>
            <w:gridSpan w:val="4"/>
          </w:tcPr>
          <w:p>
            <w:pPr>
              <w:pStyle w:val="TYTTABELItytutabeli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ochrona brzegu morskiego (C)</w:t>
            </w:r>
          </w:p>
        </w:tc>
      </w:tr>
      <w:tr>
        <w:trPr>
          <w:trHeight w:val="46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funkcje dopuszczalne</w:t>
            </w:r>
          </w:p>
        </w:tc>
      </w:tr>
      <w:tr>
        <w:trPr>
          <w:trHeight w:val="405"/>
        </w:trPr>
        <w:tc>
          <w:tcPr>
            <w:tcW w:w="9510" w:type="dxa"/>
            <w:gridSpan w:val="4"/>
          </w:tcPr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4"/>
                <w:lang w:val="pl-PL"/>
              </w:rPr>
            </w:pPr>
            <w:r>
              <w:rPr>
                <w:rFonts w:ascii="Times New Roman" w:hAnsi="Times New Roman"/>
                <w:sz w:val="22"/>
                <w:szCs w:val="24"/>
                <w:lang w:val="pl-PL"/>
              </w:rPr>
              <w:t>badania naukowe (N);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4"/>
                <w:lang w:val="pl-PL"/>
              </w:rPr>
            </w:pPr>
            <w:r>
              <w:rPr>
                <w:rFonts w:ascii="Times New Roman" w:hAnsi="Times New Roman"/>
                <w:sz w:val="22"/>
                <w:szCs w:val="24"/>
                <w:lang w:val="pl-PL"/>
              </w:rPr>
              <w:t>dziedzictwo kulturowe (D);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funkcjonowanie portu lub przystani (Ip);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4"/>
                <w:lang w:val="pl-PL"/>
              </w:rPr>
            </w:pPr>
            <w:r>
              <w:rPr>
                <w:rFonts w:ascii="Times New Roman" w:hAnsi="Times New Roman"/>
                <w:sz w:val="22"/>
                <w:szCs w:val="24"/>
                <w:lang w:val="pl-PL"/>
              </w:rPr>
              <w:t>infrastruktura techniczna (I);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4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poszukiwanie, rozpoznawanie złóż kopalin oraz wydobywanie kopalin ze złóż (K)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4"/>
                <w:lang w:val="pl-PL"/>
              </w:rPr>
            </w:pPr>
            <w:r>
              <w:rPr>
                <w:rFonts w:ascii="Times New Roman" w:hAnsi="Times New Roman"/>
                <w:sz w:val="22"/>
                <w:szCs w:val="24"/>
                <w:lang w:val="pl-PL"/>
              </w:rPr>
              <w:t>rybołówstwo (R);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4"/>
                <w:lang w:val="pl-PL"/>
              </w:rPr>
            </w:pPr>
            <w:r>
              <w:rPr>
                <w:rFonts w:ascii="Times New Roman" w:hAnsi="Times New Roman"/>
                <w:sz w:val="22"/>
                <w:szCs w:val="24"/>
                <w:lang w:val="pl-PL"/>
              </w:rPr>
              <w:t>sztuczne wyspy i konstrukcje (W);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4"/>
                <w:lang w:val="pl-PL"/>
              </w:rPr>
            </w:pPr>
            <w:r>
              <w:rPr>
                <w:rFonts w:ascii="Times New Roman" w:hAnsi="Times New Roman"/>
                <w:sz w:val="22"/>
                <w:szCs w:val="24"/>
                <w:lang w:val="pl-PL"/>
              </w:rPr>
              <w:t>transport (T);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4"/>
                <w:lang w:val="pl-PL"/>
              </w:rPr>
            </w:pPr>
            <w:r>
              <w:rPr>
                <w:rFonts w:ascii="Times New Roman" w:hAnsi="Times New Roman"/>
                <w:sz w:val="22"/>
                <w:szCs w:val="24"/>
                <w:lang w:val="pl-PL"/>
              </w:rPr>
              <w:t>turystyka, sport i rekreacja (S).</w:t>
            </w:r>
          </w:p>
        </w:tc>
      </w:tr>
      <w:tr>
        <w:trPr>
          <w:trHeight w:val="51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zakazy LUB ograniczenia W korzystaniu z Poszczególnych obszarów </w:t>
            </w:r>
          </w:p>
        </w:tc>
      </w:tr>
      <w:tr>
        <w:trPr>
          <w:trHeight w:val="555"/>
        </w:trPr>
        <w:tc>
          <w:tcPr>
            <w:tcW w:w="9510" w:type="dxa"/>
            <w:gridSpan w:val="4"/>
          </w:tcPr>
          <w:p>
            <w:pPr>
              <w:pStyle w:val="TYTTABELItytutabeli"/>
              <w:numPr>
                <w:ilvl w:val="0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dla ochrony brzegu morskiego: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akwenie, poza sytuacjami nadzwyczajnymi, ogranicza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  <w:lang w:eastAsia="en-US"/>
              </w:rPr>
              <w:t xml:space="preserve"> się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realizację funkcji do sposobów: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skuteczności tarła i podchowu narybku ryb komercyjnych i uwzględniających konieczność zabezpieczenia funkcjonowania tarlisk ryb;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niewpływających znacząco negatywnie na dobrostan ptaków zimujących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br/>
              <w:t>i odpoczywających w trakcie migracji oraz w okresie ich licznego występowania od początku listopada do końca kwietnia;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lastRenderedPageBreak/>
              <w:t>w podakwenach 06.702.R i 06.703.R ogranicza się realizację funkcji do sposobów niezagrażających funkcji korytarza migracyjnego ryb i uwzględniających konieczność zabezpieczenia dwukierunkowej migracji ryb;</w:t>
            </w:r>
          </w:p>
          <w:p>
            <w:pPr>
              <w:pStyle w:val="TYTTABELItytutabeli"/>
              <w:numPr>
                <w:ilvl w:val="0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dla badań naukowych: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 ogranicza się prowadzenie badań naukowych do sposobów: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nienaruszających elementów liniowych infrastruktury technicznej;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bezpieczeństwu żeglugi;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skuteczności tarła i podchowu narybku ryb komercyjnych i uwzględniających konieczność zabezpieczenia funkcjonowania tarlisk ryb;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podakwenach 06.702.R i 06.703.R ogranicza się realizację funkcji do sposobów niezagrażających funkcji korytarza migracyjnego ryb i uwzględniających konieczność zabezpieczenia dwukierunkowej migracji ryb;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podakwenach 06.908.B oraz 06.909.B ogranicza się realizację funkcji do sposobów niezakłócających wojskowej obserwacji technicznej i wzrokowej oraz łączności radiowej;</w:t>
            </w:r>
          </w:p>
          <w:p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dziedzictwa kulturowego:</w:t>
            </w:r>
          </w:p>
          <w:p>
            <w:pPr>
              <w:pStyle w:val="Akapitzlist"/>
              <w:numPr>
                <w:ilvl w:val="1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pStyle w:val="TYTTABELItytutabeli"/>
              <w:numPr>
                <w:ilvl w:val="0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dla funkcjonowania portu lub przystani: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wyznacza się podakweny przeznaczone na utrzymanie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funkcji portowych lub przystani morskich odpowiednio: 06.301.Ip – dla przystani morskiej w Rewalu, 06.302.Ip – dla przystani morskiej w Niechorzu, 06.303.Ip – dla portu morskiego w Mrzeżynie oraz 06.304.Ip – dla portu morskiego w Dźwirzynie.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br/>
              <w:t xml:space="preserve">W podakwenach,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</w:rPr>
              <w:t xml:space="preserve"> z wyjątkiem oznakowania nawigacyjnego,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 ogranicza się prowadzenie prac związanych z wprowadzaniem nowych elementów infrastruktury lub jej rozbudową do sposobów: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skuteczności tarła i podchowu narybku ryb komercyjnych i uwzględniających konieczność zabezpieczenia funkcjonowania tarlisk ryb;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niewpływających znacząco negatywnie na dobrostan ptaków zimujących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br/>
              <w:t>i odpoczywających w trakcie migracji oraz w okresie ich licznego występowania od początku listopada do końca kwietnia;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podakwenach 06.302.Ip oraz 06.303.Ip ogranicza się realizację funkcji do sposobów niezakłócających wojskowej obserwacji technicznej i wzrokowej oraz łączności radiowej;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podakwenach 06.702.R i 06.703.R ogranicza się realizację funkcji do sposobów niezagrażających funkcji korytarza migracyjnego ryb i uwzględniających konieczność zabezpieczenia dwukierunkowej migracji ryb;</w:t>
            </w:r>
          </w:p>
          <w:p>
            <w:pPr>
              <w:pStyle w:val="TYTTABELItytutabeli"/>
              <w:numPr>
                <w:ilvl w:val="0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dla infrastruktury technicznej: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bookmarkStart w:id="0" w:name="_Hlk522199002"/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akwenie: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ogranicza się realizację funkcji do sposobów:</w:t>
            </w:r>
          </w:p>
          <w:p>
            <w:pPr>
              <w:pStyle w:val="TYTTABELItytutabeli"/>
              <w:numPr>
                <w:ilvl w:val="3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lastRenderedPageBreak/>
              <w:t>niezagrażających skuteczności tarła i podchowu narybku ryb komercyjnych i uwzględniających konieczność zabezpieczenia funkcjonowania tarlisk ryb;</w:t>
            </w:r>
          </w:p>
          <w:p>
            <w:pPr>
              <w:pStyle w:val="TYTTABELItytutabeli"/>
              <w:numPr>
                <w:ilvl w:val="3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niewpływających znacząco negatywnie na dobrostan ptaków zimujących i odpoczywających w trakcie migracji oraz w okresie ich licznego występowania od początku listopada do końca kwietnia;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2"/>
              </w:rPr>
              <w:t>wymaga się układania nowych elementów liniowych infrastruktury technicznej:</w:t>
            </w:r>
          </w:p>
          <w:p>
            <w:pPr>
              <w:pStyle w:val="TYTTABELItytutabeli"/>
              <w:numPr>
                <w:ilvl w:val="3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2"/>
              </w:rPr>
              <w:t>prostopadle do linii brzegu;</w:t>
            </w:r>
          </w:p>
          <w:p>
            <w:pPr>
              <w:pStyle w:val="TYTTABELItytutabeli"/>
              <w:numPr>
                <w:ilvl w:val="3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2"/>
              </w:rPr>
              <w:t>pod powierzchnią dna morskiego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, a jeśli jest to niemożliwe ze względów środowiskowych czy technologicznych, należy stosować inne zabezpieczenia trwałe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zapewniające bezpieczeństwo nawigacyjne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;</w:t>
            </w:r>
          </w:p>
          <w:p>
            <w:pPr>
              <w:pStyle w:val="TYTTABELItytutabeli"/>
              <w:numPr>
                <w:ilvl w:val="3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minimum 3 m poniżej średniego zagłębienia dna rynien międzyrewowych;</w:t>
            </w:r>
          </w:p>
          <w:bookmarkEnd w:id="0"/>
          <w:p>
            <w:pPr>
              <w:pStyle w:val="Akapitzlist"/>
              <w:numPr>
                <w:ilvl w:val="1"/>
                <w:numId w:val="12"/>
              </w:numPr>
              <w:spacing w:after="120"/>
              <w:contextualSpacing w:val="0"/>
              <w:rPr>
                <w:rFonts w:ascii="Times New Roman" w:hAnsi="Times New Roman"/>
                <w:bCs/>
                <w:kern w:val="24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Cs/>
                <w:kern w:val="24"/>
                <w:sz w:val="22"/>
                <w:szCs w:val="22"/>
                <w:lang w:val="pl-PL"/>
              </w:rPr>
              <w:t xml:space="preserve">w podakwenach 06.301.Ip, 06.302.Ip, 06.303.Ip oraz 06.304.Ip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zakazuje się układania elementów liniowych infrastruktury technicznej na obszarze kotwicowisk oraz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w miejscach odkładania urobku, a na obszarze torów podejściowych w sposób zagrażający bezpieczeństwu żeglugi</w:t>
            </w:r>
            <w:r>
              <w:rPr>
                <w:rFonts w:ascii="Times New Roman" w:hAnsi="Times New Roman"/>
                <w:bCs/>
                <w:kern w:val="24"/>
                <w:sz w:val="22"/>
                <w:szCs w:val="22"/>
                <w:lang w:val="pl-PL"/>
              </w:rPr>
              <w:t>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podakwenach 06.702.R i 06.703.R ogranicza się realizację funkcji do sposobów niezagrażających funkcji korytarza migracyjnego ryb i uwzględniających konieczność zabezpieczenia dwukierunkowej migracji ryb;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w podakwenie 06.800.S ogranicza się realizację funkcji do sposobów spełniających wymogi zapewnienia bezpieczeństwa kąpielisk i miejsc wykorzystywanych do kąpieli oraz rekreacji i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</w:rPr>
              <w:t xml:space="preserve">uprawiania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sportów wodnych;</w:t>
            </w:r>
          </w:p>
          <w:p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poszukiwania, rozpoznawania złóż kopalin oraz wydobywania kopalin ze złóż: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 zakazuje się wydobywania kopalin metodą odkrywkową lub innymi metodami zagrażającymi systemowi ochrony brzegu;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 ogranicza się realizację funkcji do sposobów: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Style w:val="Ppogrubienie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</w:rPr>
              <w:t>nieograniczających rozwoju funkcji turystycznej, sportowej i rekreacyjnej;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Style w:val="Ppogrubienie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nienaruszających elementów liniowych infrastruktury technicznej;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skuteczności tarła i podchowu narybku ryb komercyjnych i uwzględniających konieczność zabezpieczenia funkcjonowania tarlisk ryb;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Style w:val="Ppogrubienie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podakwenach 06.702.R i 06.703.R ogranicza się realizację funkcji do sposobów niezagrażających funkcji korytarza migracyjnego ryb i uwzględniających konieczność zabezpieczenia dwukierunkowej migracji ryb</w:t>
            </w:r>
            <w:r>
              <w:rPr>
                <w:rStyle w:val="Ppogrubienie"/>
                <w:rFonts w:ascii="Times New Roman" w:hAnsi="Times New Roman"/>
                <w:caps w:val="0"/>
                <w:sz w:val="22"/>
                <w:szCs w:val="22"/>
              </w:rPr>
              <w:t xml:space="preserve">; 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Style w:val="Ppogrubienie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2"/>
                <w:szCs w:val="22"/>
              </w:rPr>
              <w:t>w podakwenach 06.301.Ip, 06.302.Ip, 06.303.Ip oraz 06.304.Ip</w:t>
            </w:r>
            <w:r>
              <w:rPr>
                <w:rFonts w:ascii="Times New Roman" w:hAnsi="Times New Roman"/>
                <w:bCs w:val="0"/>
                <w:sz w:val="22"/>
                <w:szCs w:val="22"/>
              </w:rPr>
              <w:t xml:space="preserve"> </w:t>
            </w:r>
            <w:r>
              <w:rPr>
                <w:rStyle w:val="Ppogrubienie"/>
                <w:rFonts w:ascii="Times New Roman" w:hAnsi="Times New Roman"/>
                <w:caps w:val="0"/>
                <w:sz w:val="22"/>
                <w:szCs w:val="22"/>
              </w:rPr>
              <w:t xml:space="preserve">ogranicza się realizację funkcji do sposobów nieograniczających dostępu do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obszarów portowych i przystani;</w:t>
            </w:r>
          </w:p>
          <w:p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rybołówstwa: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 ustala się;</w:t>
            </w:r>
          </w:p>
          <w:p>
            <w:pPr>
              <w:pStyle w:val="TYTTABELItytutabeli"/>
              <w:numPr>
                <w:ilvl w:val="0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bookmarkStart w:id="1" w:name="_Hlk512072807"/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dla sztucznych wysp i konstrukcji: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lastRenderedPageBreak/>
              <w:t>w</w:t>
            </w:r>
            <w:r>
              <w:rPr>
                <w:b w:val="0"/>
                <w:caps w:val="0"/>
                <w:sz w:val="22"/>
              </w:rPr>
              <w:t xml:space="preserve"> całym akwenie zakazuje się posadawiania sztucznych wysp, konstrukcji i urządzeń służących do wydobywania węglowodorów;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 ogranicza się realizację funkcji do sposobów: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bezpieczeństwu żeglugi;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skuteczności tarła i podchowu narybku ryb komercyjnych i uwzględniających konieczność zabezpieczenia funkcjonowania tarlisk ryb;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niewpływających znacząco negatywnie na dobrostan ptaków zimujących i odpoczywających w trakcie migracji oraz w okresie ich licznego występowania od początku listopada do końca kwietnia;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bookmarkStart w:id="2" w:name="_Hlk529618746"/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podakwenach 06.301.Ip, 06.302.Ip, 06.303.Ip oraz 06.304.Ip ogranicza się realizację funkcji do sposobów umożliwiających funkcjonowanie istniejących obszarów portowych i przystani;</w:t>
            </w:r>
          </w:p>
          <w:bookmarkEnd w:id="2"/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podakwenie 06.909.B zakazuje się wznoszenia nowych konstrukcji przekraczających 27 m n.p.m. oraz rozbudowy i nadbudowy istniejących budowli powyżej tej wysokości;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podakwenie 06.908.B zakazuje się wznoszenia nowych konstrukcji przekraczających 38 m n.p.m. oraz rozbudowy i nadbudowy istniejących budowli powyżej tej wysokości;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podakwenach 06.908.B oraz 06.909.B ogranicza się realizację funkcji do sposobów niezakłócających wojskowej obserwacji technicznej i wzrokowej oraz łączności radiowej;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w podakwenie 06.925.B </w:t>
            </w:r>
            <w:r>
              <w:rPr>
                <w:rFonts w:ascii="Times New Roman" w:hAnsi="Times New Roman" w:cs="Courier"/>
                <w:b w:val="0"/>
                <w:caps w:val="0"/>
                <w:sz w:val="22"/>
                <w:szCs w:val="20"/>
              </w:rPr>
              <w:t xml:space="preserve">w granicy strefy ochronnej istnieją ograniczenia w zabudowie dotyczące fali uderzeniowej - od 1 do 5 </w:t>
            </w:r>
            <w:proofErr w:type="spellStart"/>
            <w:r>
              <w:rPr>
                <w:rFonts w:ascii="Times New Roman" w:hAnsi="Times New Roman" w:cs="Courier"/>
                <w:b w:val="0"/>
                <w:caps w:val="0"/>
                <w:sz w:val="22"/>
                <w:szCs w:val="20"/>
              </w:rPr>
              <w:t>kPa</w:t>
            </w:r>
            <w:proofErr w:type="spellEnd"/>
            <w:r>
              <w:rPr>
                <w:rFonts w:ascii="Times New Roman" w:hAnsi="Times New Roman" w:cs="Courier"/>
                <w:b w:val="0"/>
                <w:caps w:val="0"/>
                <w:sz w:val="22"/>
                <w:szCs w:val="20"/>
              </w:rPr>
              <w:t>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w podakwenach 06.702.R i 06.703.R ogranicza się realizację funkcji do sposobów niezagrażających funkcji korytarza migracyjnego ryb i uwzględniających konieczność zabezpieczenia dwukierunkowej migracji ryb; </w:t>
            </w:r>
          </w:p>
          <w:bookmarkEnd w:id="1"/>
          <w:p>
            <w:pPr>
              <w:pStyle w:val="TYTTABELItytutabeli"/>
              <w:numPr>
                <w:ilvl w:val="0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dla transportu: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 ustala się;</w:t>
            </w:r>
          </w:p>
          <w:p>
            <w:pPr>
              <w:pStyle w:val="TYTTABELItytutabeli"/>
              <w:numPr>
                <w:ilvl w:val="0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dla turystyki, sportu i rekreacji: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wyznacza się podakwen 06.800.S przeznaczony na rozwój funkcji turystycznej.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br/>
              <w:t xml:space="preserve"> W podakwenie ogranicza się: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tworzenie kąpielisk i miejsc okazjonalnie wykorzystywanych do kąpieli oraz rekreacji i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</w:rPr>
              <w:t xml:space="preserve">uprawiania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sportów wodnych do miejsc niezagrażających bezpieczeństwu życia ludzkiego;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wprowadzanie nowych elementów infrastruktury turystycznej (mola, pomosty) do miejsc spełniających wymogi utrzymania właściwego stanu systemu ochrony brzegu morskiego, z wyłączeniem tych uzgodnionych przez właściwego terytorialnie dyrektora urzędu morskiego przed przyjęciem niniejszego planu (w tym w obowiązujących miejscowych planach zagospodarowania przestrzennego);</w:t>
            </w:r>
          </w:p>
          <w:p>
            <w:pPr>
              <w:pStyle w:val="TYTTABELItytutabeli"/>
              <w:numPr>
                <w:ilvl w:val="0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inne: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lastRenderedPageBreak/>
              <w:t>w podakwenach 06.909.B oraz 06.908.B ogranicza się prowadzenie działań niewymienionych w pkt 1-9do sposobów niezakłócających wojskowej obserwacji technicznej i wzrokowej oraz łączności radiowej;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 ogranicza się lokalizowanie nowych miejsc odkładania urobku do: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lokalizacji i okresów niezagrażających skuteczności tarła i podchowu narybku ryb komercyjnych i uwzględniających konieczność zabezpieczenia funkcjonowania tarlisk ryb;</w:t>
            </w:r>
          </w:p>
          <w:p>
            <w:pPr>
              <w:pStyle w:val="TYTTABELItytutabeli"/>
              <w:numPr>
                <w:ilvl w:val="2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lokalizacji o stwierdzonej niskiej waloryzacji biotopu;</w:t>
            </w:r>
          </w:p>
          <w:p>
            <w:pPr>
              <w:pStyle w:val="TYTTABELItytutabeli"/>
              <w:numPr>
                <w:ilvl w:val="1"/>
                <w:numId w:val="1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t>po realizacji inwestycji polegającej na układaniu elementów liniowych infrastruktury technicznej wymaga się ustanowienia wokół nich strefy bezpieczeństwa przez właściwego terytorialnie dyrektora urzędu morskiego, w której będzie obowiązywać zakaz kotwiczenia, z wyłączeniem kotwiczenia awaryjnego oraz związanego z pracami instalacyjnymi i serwisowymi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.</w:t>
            </w:r>
          </w:p>
        </w:tc>
      </w:tr>
      <w:tr>
        <w:trPr>
          <w:trHeight w:val="58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 inwestycje celu publicznego</w:t>
            </w:r>
          </w:p>
        </w:tc>
      </w:tr>
      <w:tr>
        <w:trPr>
          <w:trHeight w:val="465"/>
        </w:trPr>
        <w:tc>
          <w:tcPr>
            <w:tcW w:w="9510" w:type="dxa"/>
            <w:gridSpan w:val="4"/>
          </w:tcPr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ind w:left="714" w:hanging="3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wyznacza się podakwen 06.200.I przeznaczony na układanie i utrzymywanie elementów liniowych infrastruktury technicznej – pierwszy i drugi wariant przebiegu Gazociągu Bałtyckiego Baltic Pipe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;</w:t>
            </w:r>
          </w:p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ind w:left="714" w:hanging="3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utrzymanie dostępu do portu morskiego w Dźwirzynie oraz rozbudowa infrastruktury portowej;</w:t>
            </w:r>
          </w:p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ind w:left="714" w:hanging="3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utrzymanie dostępu do portu morskiego w Mrzeżynie oraz rozbudowa infrastruktury portowej;</w:t>
            </w:r>
          </w:p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ind w:left="714" w:hanging="3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utrzymanie dostępu do przystani morskich w Rewalu i w Niechorzu;</w:t>
            </w:r>
          </w:p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ind w:left="714" w:hanging="3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t>inwestycje związane z wydobywaniem wód termalnych z utworów jury dolnej ze złoża położonego w rejonie miejscowości Trzęsacz przez otwór Trzęsacz 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GT-1;</w:t>
            </w:r>
          </w:p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ind w:left="714" w:hanging="357"/>
              <w:jc w:val="left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akwenie dopuszcza się układanie światłowodów, kolektorów i innych elementów liniowych infrastruktury technicznej poza wyznaczonymi podakwenami.</w:t>
            </w:r>
          </w:p>
        </w:tc>
      </w:tr>
      <w:tr>
        <w:trPr>
          <w:trHeight w:val="28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warunki korzystania z akwenu</w:t>
            </w:r>
          </w:p>
        </w:tc>
      </w:tr>
      <w:tr>
        <w:trPr>
          <w:trHeight w:val="285"/>
        </w:trPr>
        <w:tc>
          <w:tcPr>
            <w:tcW w:w="9510" w:type="dxa"/>
            <w:gridSpan w:val="4"/>
          </w:tcPr>
          <w:p>
            <w:pPr>
              <w:pStyle w:val="Akapitzlist"/>
              <w:numPr>
                <w:ilvl w:val="0"/>
                <w:numId w:val="1"/>
              </w:numPr>
              <w:spacing w:after="120"/>
              <w:ind w:left="489" w:hanging="141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ochrona środowiska:</w:t>
            </w:r>
          </w:p>
          <w:p>
            <w:pPr>
              <w:pStyle w:val="Akapitzlist"/>
              <w:numPr>
                <w:ilvl w:val="0"/>
                <w:numId w:val="5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pStyle w:val="TYTTABELItytutabeli"/>
              <w:numPr>
                <w:ilvl w:val="0"/>
                <w:numId w:val="1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obronność i bezpieczeństwo państwa: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wyznacza się podakwen 06.909.B będący strefą ochronną terenu zamkniętego </w:t>
            </w: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kompleksu wojskowego 4064 Mrzeżyno;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wyznacza się podakwen 06.908.B będący strefą ochronną terenu zamkniętego </w:t>
            </w: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kompleksu wojskowego 4281 Niechorze;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120"/>
              <w:contextualSpacing w:val="0"/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wyznacza się podakwen 06.925.B b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d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y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e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ą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ochronną terenu zamkniętego – kompleksu K-1712 Mrzeżyno;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ochrona dziedzictwa kulturowego: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rybołówstwo i akwakultura:</w:t>
            </w:r>
          </w:p>
          <w:p>
            <w:pPr>
              <w:pStyle w:val="Akapitzlist"/>
              <w:numPr>
                <w:ilvl w:val="0"/>
                <w:numId w:val="6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 xml:space="preserve">wyznacza się podakweny </w:t>
            </w:r>
            <w:r>
              <w:rPr>
                <w:rFonts w:ascii="Times New Roman" w:hAnsi="Times New Roman"/>
                <w:caps/>
                <w:sz w:val="22"/>
                <w:szCs w:val="22"/>
                <w:lang w:val="pl-PL"/>
              </w:rPr>
              <w:t xml:space="preserve">06.702.R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(obszar przyujściowy rzeki Rega) oraz </w:t>
            </w:r>
            <w:r>
              <w:rPr>
                <w:rFonts w:ascii="Times New Roman" w:hAnsi="Times New Roman"/>
                <w:caps/>
                <w:sz w:val="22"/>
                <w:szCs w:val="22"/>
                <w:lang w:val="pl-PL"/>
              </w:rPr>
              <w:t xml:space="preserve">06.703.R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(obszar przyujściowy rzeki Błotnica) w celu zabezpieczenia dwukierunkowej migracji ryb;</w:t>
            </w:r>
          </w:p>
          <w:p>
            <w:pPr>
              <w:pStyle w:val="Akapitzlist"/>
              <w:numPr>
                <w:ilvl w:val="0"/>
                <w:numId w:val="6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dopuszcza się akwakultury w akwenie;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pozyskiwanie energii odnawialnej: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dopuszcza się;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poszukiwanie, rozpoznawanie złóż kopalin oraz wydobywanie kopalin ze złóż: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dopuszcza się poszukiwanie, rozpoznawanie złóż kopalin w całym akwenie;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dopuszcza się wydobywanie kopalin ze złóż zgodnie z ograniczeniami w ust 7 pkt 6.</w:t>
            </w:r>
          </w:p>
        </w:tc>
      </w:tr>
      <w:tr>
        <w:trPr>
          <w:trHeight w:val="52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ustalenia wiążące samorządy województw oraz gminy</w:t>
            </w:r>
          </w:p>
        </w:tc>
      </w:tr>
      <w:tr>
        <w:trPr>
          <w:trHeight w:val="315"/>
        </w:trPr>
        <w:tc>
          <w:tcPr>
            <w:tcW w:w="9510" w:type="dxa"/>
            <w:gridSpan w:val="4"/>
          </w:tcPr>
          <w:p>
            <w:pPr>
              <w:pStyle w:val="TYTTABELItytutabeli"/>
              <w:numPr>
                <w:ilvl w:val="0"/>
                <w:numId w:val="10"/>
              </w:numPr>
              <w:spacing w:before="0" w:after="120" w:line="276" w:lineRule="auto"/>
              <w:jc w:val="left"/>
              <w:rPr>
                <w:rFonts w:ascii="Times New Roman" w:hAnsi="Times New Roman"/>
                <w:b w:val="0"/>
                <w:caps w:val="0"/>
              </w:rPr>
            </w:pPr>
            <w:bookmarkStart w:id="3" w:name="_Hlk514578453"/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wyznacza się podakwen 06.200.I przeznaczony na układanie i utrzymywanie Gazociągu Bałtyckiego Baltic Pipe, w którym infrastruktura jest wyprowadzana na ląd (pierwszy i drugi wariant przebiegu);</w:t>
            </w:r>
          </w:p>
          <w:p>
            <w:pPr>
              <w:pStyle w:val="TYTTABELItytutabeli"/>
              <w:numPr>
                <w:ilvl w:val="0"/>
                <w:numId w:val="10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wyznacza się podakwen 06.909.B, będący strefą ochronną terenu zamkniętego – kompleksu wojskowego K-4064 Mrzeżyno;</w:t>
            </w:r>
          </w:p>
          <w:p>
            <w:pPr>
              <w:pStyle w:val="TYTTABELItytutabeli"/>
              <w:numPr>
                <w:ilvl w:val="0"/>
                <w:numId w:val="10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wyznacza się podakwen 06.908.B, będący strefą ochronną terenu zamkniętego – kompleksu wojskowego K-4281 Niechorze;</w:t>
            </w:r>
          </w:p>
          <w:p>
            <w:pPr>
              <w:pStyle w:val="TYTTABELItytutabeli"/>
              <w:numPr>
                <w:ilvl w:val="0"/>
                <w:numId w:val="10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wyznacza się podakwen 06.925.B będący strefą ochronną terenu zamkniętego – </w:t>
            </w:r>
            <w:r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t>kompleksu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 K-1712 Mrzeżyno, w którym </w:t>
            </w:r>
            <w:r>
              <w:rPr>
                <w:rFonts w:ascii="Times New Roman" w:hAnsi="Times New Roman" w:cs="Courier"/>
                <w:b w:val="0"/>
                <w:caps w:val="0"/>
                <w:sz w:val="22"/>
                <w:szCs w:val="20"/>
              </w:rPr>
              <w:t xml:space="preserve">istnieją ograniczenia w zabudowie dotyczące fali uderzeniowej - od 1 do 5 </w:t>
            </w:r>
            <w:proofErr w:type="spellStart"/>
            <w:r>
              <w:rPr>
                <w:rFonts w:ascii="Times New Roman" w:hAnsi="Times New Roman" w:cs="Courier"/>
                <w:b w:val="0"/>
                <w:caps w:val="0"/>
                <w:sz w:val="22"/>
                <w:szCs w:val="20"/>
              </w:rPr>
              <w:t>kPa</w:t>
            </w:r>
            <w:proofErr w:type="spellEnd"/>
            <w:r>
              <w:rPr>
                <w:rFonts w:ascii="Times New Roman" w:hAnsi="Times New Roman" w:cs="Courier"/>
                <w:b w:val="0"/>
                <w:caps w:val="0"/>
                <w:sz w:val="22"/>
                <w:szCs w:val="20"/>
              </w:rPr>
              <w:t>;</w:t>
            </w:r>
          </w:p>
          <w:bookmarkEnd w:id="3"/>
          <w:p>
            <w:pPr>
              <w:pStyle w:val="TYTTABELItytutabeli"/>
              <w:numPr>
                <w:ilvl w:val="0"/>
                <w:numId w:val="10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t>wyznac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za się podakwen 06.800.S, gdzie dopuszcza się lokalizację kąpielisk i miejsc przeznaczonych do kąpieli oraz wprowadzani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</w:rPr>
              <w:t>e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 elementów infrastruktury turystycznej, zgodnie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br/>
              <w:t xml:space="preserve">z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</w:rPr>
              <w:t>rozstrzygnięciami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 zawartymi w ust. 7 pkt 9;</w:t>
            </w:r>
          </w:p>
          <w:p>
            <w:pPr>
              <w:pStyle w:val="Akapitzlist"/>
              <w:numPr>
                <w:ilvl w:val="0"/>
                <w:numId w:val="10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ustala się wymóg utrzymania drożności rzek Rega i Błotnica w celu zapewnienia możliwości migracji organizmów dwuśrodowiskowych (podakweny </w:t>
            </w:r>
            <w:r>
              <w:rPr>
                <w:rFonts w:ascii="Times New Roman" w:hAnsi="Times New Roman"/>
                <w:caps/>
                <w:sz w:val="22"/>
                <w:szCs w:val="22"/>
                <w:lang w:val="pl-PL"/>
              </w:rPr>
              <w:t xml:space="preserve">06.702.R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oraz 06.</w:t>
            </w:r>
            <w:r>
              <w:rPr>
                <w:rFonts w:ascii="Times New Roman" w:hAnsi="Times New Roman"/>
                <w:caps/>
                <w:sz w:val="22"/>
                <w:szCs w:val="22"/>
                <w:lang w:val="pl-PL"/>
              </w:rPr>
              <w:t>703.R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). </w:t>
            </w:r>
          </w:p>
        </w:tc>
      </w:tr>
      <w:tr>
        <w:trPr>
          <w:trHeight w:val="33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Style w:val="IDindeksdolny"/>
                <w:rFonts w:ascii="Times New Roman" w:hAnsi="Times New Roman"/>
              </w:rPr>
            </w:pPr>
            <w:r>
              <w:rPr>
                <w:rStyle w:val="IDindeksdolny"/>
                <w:rFonts w:ascii="Times New Roman" w:hAnsi="Times New Roman"/>
              </w:rPr>
              <w:t>uwarunkowania</w:t>
            </w:r>
          </w:p>
        </w:tc>
      </w:tr>
      <w:tr>
        <w:trPr>
          <w:trHeight w:val="30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zasady korzystania z akwenu</w:t>
            </w:r>
          </w:p>
          <w:p>
            <w:pPr>
              <w:pStyle w:val="TEKSTwTABELIWYRODKOWANYtekstwyrodkowanywpoziomi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(wynikające z dokumentów lub aktów normatywnych)</w:t>
            </w:r>
          </w:p>
        </w:tc>
      </w:tr>
      <w:tr>
        <w:trPr>
          <w:trHeight w:val="255"/>
        </w:trPr>
        <w:tc>
          <w:tcPr>
            <w:tcW w:w="9510" w:type="dxa"/>
            <w:gridSpan w:val="4"/>
          </w:tcPr>
          <w:p>
            <w:pPr>
              <w:pStyle w:val="Akapitzlist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formy ochrony przyrody i ich otulin oraz ustalenia planów ochrony, o których mowa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w przepisach o ochronie przyrody:</w:t>
            </w:r>
          </w:p>
          <w:p>
            <w:pPr>
              <w:pStyle w:val="Akapitzlist"/>
              <w:numPr>
                <w:ilvl w:val="1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4"/>
                <w:lang w:val="pl-PL"/>
              </w:rPr>
              <w:t>akwen jest położony w</w:t>
            </w:r>
            <w:r>
              <w:rPr>
                <w:rFonts w:ascii="Times New Roman" w:hAnsi="Times New Roman"/>
                <w:sz w:val="22"/>
                <w:szCs w:val="24"/>
                <w:lang w:val="pl-PL"/>
              </w:rPr>
              <w:t xml:space="preserve"> granicach</w:t>
            </w:r>
            <w:r>
              <w:rPr>
                <w:rFonts w:ascii="Times New Roman" w:hAnsi="Times New Roman"/>
                <w:sz w:val="22"/>
                <w:szCs w:val="24"/>
                <w:lang w:val="pl-PL"/>
              </w:rPr>
              <w:t xml:space="preserve"> obszar</w:t>
            </w:r>
            <w:r>
              <w:rPr>
                <w:rFonts w:ascii="Times New Roman" w:hAnsi="Times New Roman"/>
                <w:sz w:val="22"/>
                <w:szCs w:val="24"/>
                <w:lang w:val="pl-PL"/>
              </w:rPr>
              <w:t>u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Natura 2000 „Ostoja na Zatoce Pomorskiej” (PLH990002) oraz „Zatoka Pomorska” (PLB990003)</w:t>
            </w:r>
            <w:r>
              <w:rPr>
                <w:rFonts w:ascii="Times New Roman" w:hAnsi="Times New Roman"/>
                <w:sz w:val="22"/>
                <w:szCs w:val="24"/>
                <w:lang w:val="pl-PL"/>
              </w:rPr>
              <w:t>, na których obowiązują odrębne przepisy;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obiekty i akweny chronione ustanowione na podstawie przepisów o ochronie zabytków i opiece nad zabytkami:</w:t>
            </w:r>
          </w:p>
          <w:p>
            <w:pPr>
              <w:pStyle w:val="Akapitzlist"/>
              <w:numPr>
                <w:ilvl w:val="1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znajdują się obiekty o wartości zabytkowej, w tym dwa zewidencjonowane stanowiska archeologiczne oznaczone: Dźwirzyno (Bałtyk) stan. 2 AZP 15-14/7 oraz Dźwirzyno stan. 1, AZP 15-14/8;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obiekty i strefy chronione ustanowione na podstawie przepisów o ochronie środowiska:</w:t>
            </w:r>
          </w:p>
          <w:p>
            <w:pPr>
              <w:pStyle w:val="Akapitzlist"/>
              <w:numPr>
                <w:ilvl w:val="1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brak;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strefy zamknięte dla żeglugi i rybołówstwa oraz ogłaszane okresowo strefy niebezpieczne dla żeglugi i rybołówstwa, ustanawiane na podstawie art. 3 ust. 1 ustawy o obszarach morskich Rzeczypospolitej Polskiej i administracji morskiej:</w:t>
            </w:r>
          </w:p>
          <w:p>
            <w:pPr>
              <w:pStyle w:val="Akapitzlist"/>
              <w:numPr>
                <w:ilvl w:val="1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brak;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ochrona żywych zasobów morza na podstawie przepisów o rybołówstwie morskim:</w:t>
            </w:r>
          </w:p>
          <w:p>
            <w:pPr>
              <w:pStyle w:val="Akapitzlist"/>
              <w:numPr>
                <w:ilvl w:val="1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obowiązują zasady, zakazy i ograniczenia obowiązujące rybołówstwo;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działania realizowane w ramach Krajowego programu ochrony wód morskich:</w:t>
            </w:r>
          </w:p>
          <w:p>
            <w:pPr>
              <w:pStyle w:val="Akapitzlist"/>
              <w:numPr>
                <w:ilvl w:val="1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obowiązują działania opisane w Krajowym programie ochrony wód morskich.</w:t>
            </w:r>
          </w:p>
        </w:tc>
      </w:tr>
      <w:tr>
        <w:trPr>
          <w:trHeight w:val="24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 szczególnie istotne uwarunkowania dotyczące akwenu</w:t>
            </w:r>
          </w:p>
        </w:tc>
      </w:tr>
      <w:tr>
        <w:trPr>
          <w:trHeight w:val="210"/>
        </w:trPr>
        <w:tc>
          <w:tcPr>
            <w:tcW w:w="9510" w:type="dxa"/>
            <w:gridSpan w:val="4"/>
          </w:tcPr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 podstawie przepisów ustawy z dnia 21 marca 1991 r. o obszarach morskich Rzeczypospolitej Polskiej i administracji morskiej akwen jest położony w terytorialnym zakresie działania Dyrektora Urzędu Morskiego w Szczecinie, na obszarze morskich wód wewnętrznych oraz morza terytorialnego RP;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akwen obejmuje obszar sięgający 3 km w głąb morza (obejmując podwodny skłon brzegowy);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akwen o zróżnicowanym typie brzegu, w którym występują odcinki zarówno erozyjne, jak i akumulacyjne. System ochrony brzegu </w:t>
            </w:r>
            <w:r>
              <w:rPr>
                <w:rFonts w:ascii="Times New Roman" w:hAnsi="Times New Roman"/>
                <w:sz w:val="22"/>
                <w:szCs w:val="22"/>
              </w:rPr>
              <w:t>morskiego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jest wspomagany umocnieniami brzegowymi (ostrogi, opaski, progi podwodne) oraz sztucznym zasilaniem. Na podstawie zapisów ustawy z dnia 21 marca 1991 r. o obszarach morskich Rzeczypospolitej Polskiej i administracji morskiej wyznaczono minimalny poziom bezpieczeństwa brzegu morskiego oraz graniczną linię ochrony brzegu morskiego. Minimalny poziom bezpieczeństwa musi być zapewniony przez system ochrony brzegu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morskiego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Nie dopuszcza się cofania brzegu morskiego poza graniczną linię ochrony;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 podstawie zapisów ustawy z dnia 19 grudnia 2014 r. o rybołówstwie morskim akwen jest wykorzystywany na rzecz rybołówstwa przybrzeżnego (jednostki rybackie do 12 m długości) z użyciem narzędzi biernych;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akwen o wysokiej częstości wskazań łowisk przybrzeżnych;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 podstawie zapisów ustawy z dnia 20 grudnia 1996 r. o portach i przystaniach morskich określono infrastrukturę zapewniającą dostęp do portów morskich w Mrzeżynie i Dźwirzynie, przystani morskich w Rewalu i Niechorzu oraz ich infrastrukturę portową; w akwenie wykonywane są prace związane z utrzymaniem podejściowego toru wodnego do portów morskich w Mrzeżynie i Dźwirzynie;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akwen nie jest wykorzystywany intensywnie na rzecz żeglugi i transportu morskiego;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bookmarkStart w:id="4" w:name="_Hlk529119201"/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akwen jest wykorzystywany na rzecz turystyki nadmorskiej; </w:t>
            </w:r>
            <w:bookmarkEnd w:id="4"/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na podstawie zapisów ustawy z dnia 20 lipca 2017 r. – Prawo wodne dopuszcza się kąpieliska i miejsca okazjonalnie wykorzystywane do kąpieli na terenie gminy lub na polskich obszarach morskich przyległych do danej gminy;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w akwenie istnieją optymalne warunki habitatowe i hydrologiczne do skutecznego tarła śledzia populacji wiosennej, śledzia populacji jesiennej (szczególnie w części zachodniej), skarpia, okonia (w strefie przybrzeżnej);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akwen graniczy z lądowymi obszarami: obszarem Natura 2000 „Wybrzeże Trzebiatowskie” (</w:t>
            </w:r>
            <w:r>
              <w:rPr>
                <w:rFonts w:ascii="Times New Roman" w:hAnsi="Times New Roman"/>
                <w:sz w:val="22"/>
                <w:szCs w:val="24"/>
                <w:lang w:val="pl-PL" w:eastAsia="en-US"/>
              </w:rPr>
              <w:t>PLB320010)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, obszarem Natura 2000 „Trzebiatowsko-Kołobrzeski Pas Nadmorski” (</w:t>
            </w:r>
            <w:r>
              <w:rPr>
                <w:rFonts w:ascii="Times New Roman" w:hAnsi="Times New Roman"/>
                <w:sz w:val="22"/>
                <w:szCs w:val="24"/>
                <w:lang w:val="pl-PL" w:eastAsia="en-US"/>
              </w:rPr>
              <w:t>PLH320017)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, rezerwatem przyrody „Klif w Łukęcinie”, rezerwatem przyrody „Nadmorski Bór Bażynowy w Mrzeżynie” oraz rezerwatem „Jezioro Liwia Łuża”;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akwen jest wykorzystywany do badań naukowych (monitoring stanu środowiska, połowy badawcze);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znajdują się elementy podwodnego dziedzictwa kulturowego;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 przyległym obszarze lądowym są zlokalizowane kompleksy wojskowe K-1712, K-4064 Mrzeżyno oraz K-4281 Niechorze;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znajdują się ujścia kolektorów ściekowych;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 przyległym obszarze lądowym znajdują się stanowiska archeologiczne APZ 14-15/7 oraz 14-15/8 w Dźwirzynie;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bookmarkStart w:id="6" w:name="_Hlk521931491"/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 akwenie zlokalizowana jest część obszaru koncesyjnego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na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wydobywanie wód termalnych z utworów jury dolnej ze złoża położonego w rejonie miejscowości Trzęsacz przez otwór Trzęsacz GT-1.</w:t>
            </w:r>
            <w:bookmarkEnd w:id="6"/>
          </w:p>
        </w:tc>
      </w:tr>
      <w:tr>
        <w:trPr>
          <w:trHeight w:val="31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 inne istotne informacje</w:t>
            </w:r>
          </w:p>
        </w:tc>
      </w:tr>
      <w:tr>
        <w:trPr>
          <w:trHeight w:val="270"/>
        </w:trPr>
        <w:tc>
          <w:tcPr>
            <w:tcW w:w="9510" w:type="dxa"/>
            <w:gridSpan w:val="4"/>
          </w:tcPr>
          <w:p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 ustanowieniu </w:t>
            </w:r>
            <w:r>
              <w:rPr>
                <w:rFonts w:ascii="Times New Roman" w:hAnsi="Times New Roman"/>
                <w:sz w:val="22"/>
                <w:szCs w:val="24"/>
                <w:lang w:val="pl-PL"/>
              </w:rPr>
              <w:t>w drodze rozporządzenia właściwego ministra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będą obowiązywać zapisy planu ochrony obszaru Natura 2000 „Ostoja na Zatoce Pomorskiej” (PLH990002) i planu ochrony obszaru Natura 2000 „Zatoka Pomorska” (PLB990003);</w:t>
            </w:r>
          </w:p>
          <w:p>
            <w:pPr>
              <w:pStyle w:val="TYTTABELItytutabeli"/>
              <w:numPr>
                <w:ilvl w:val="0"/>
                <w:numId w:val="14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rekomEndacje:</w:t>
            </w:r>
          </w:p>
          <w:p>
            <w:pPr>
              <w:pStyle w:val="Akapitzlist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 związku z dużą dynamiką procesów zachodzących w strefie brzegowej zaleca się rozszerzenie raportu o oddziaływaniu na środowisko dla przedsięwzięć w akwenie,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o wpływ tych przedsięwzięć na procesy morfo- i litodynamiczne zachodzące w strefie brzegowej oraz na stan systemu ochrony brzegu morskiego;</w:t>
            </w:r>
          </w:p>
          <w:p>
            <w:pPr>
              <w:pStyle w:val="Akapitzlist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 związku z istnieniem bardzo dobrych warunków do rozrodu ryb komercyjnych </w:t>
            </w:r>
            <w:r>
              <w:rPr>
                <w:rFonts w:ascii="Times New Roman" w:hAnsi="Times New Roman"/>
                <w:sz w:val="22"/>
                <w:szCs w:val="24"/>
                <w:lang w:val="pl-PL"/>
              </w:rPr>
              <w:t xml:space="preserve">zaleca się rozszerzenie zakresu raportu o oddziaływaniu na środowisko dla przedsięwzięć </w:t>
            </w:r>
            <w:r>
              <w:rPr>
                <w:rFonts w:ascii="Times New Roman" w:hAnsi="Times New Roman"/>
                <w:sz w:val="22"/>
                <w:szCs w:val="24"/>
                <w:lang w:val="pl-PL"/>
              </w:rPr>
              <w:br/>
              <w:t>w akwenie o wpływ tych przedsięwzięć na zasoby i rekrutację ryb ważnych dla rybołówstwa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 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1.1pt;height:12.75pt" o:bullet="t">
        <v:imagedata r:id="rId1" o:title=""/>
      </v:shape>
    </w:pict>
  </w:numPicBullet>
  <w:abstractNum w:abstractNumId="0" w15:restartNumberingAfterBreak="0">
    <w:nsid w:val="060C257D"/>
    <w:multiLevelType w:val="hybridMultilevel"/>
    <w:tmpl w:val="D6889D34"/>
    <w:lvl w:ilvl="0" w:tplc="3DC873A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3471E"/>
    <w:multiLevelType w:val="multilevel"/>
    <w:tmpl w:val="36FCAC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D0D0D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167D7983"/>
    <w:multiLevelType w:val="hybridMultilevel"/>
    <w:tmpl w:val="D6889D34"/>
    <w:lvl w:ilvl="0" w:tplc="3DC873A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0068C3"/>
    <w:multiLevelType w:val="hybridMultilevel"/>
    <w:tmpl w:val="D6889D34"/>
    <w:lvl w:ilvl="0" w:tplc="3DC873A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9C591D"/>
    <w:multiLevelType w:val="multilevel"/>
    <w:tmpl w:val="A51210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aps w:val="0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35AF37CB"/>
    <w:multiLevelType w:val="multilevel"/>
    <w:tmpl w:val="85EEA3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37A43D58"/>
    <w:multiLevelType w:val="multilevel"/>
    <w:tmpl w:val="182EDF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4C231653"/>
    <w:multiLevelType w:val="hybridMultilevel"/>
    <w:tmpl w:val="8FA66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E3081"/>
    <w:multiLevelType w:val="multilevel"/>
    <w:tmpl w:val="A51210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aps w:val="0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5B22030A"/>
    <w:multiLevelType w:val="hybridMultilevel"/>
    <w:tmpl w:val="68863404"/>
    <w:lvl w:ilvl="0" w:tplc="D436D7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27767A"/>
    <w:multiLevelType w:val="hybridMultilevel"/>
    <w:tmpl w:val="5706188E"/>
    <w:lvl w:ilvl="0" w:tplc="801E90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E0C11"/>
    <w:multiLevelType w:val="hybridMultilevel"/>
    <w:tmpl w:val="D6889D34"/>
    <w:lvl w:ilvl="0" w:tplc="3DC873A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D8453B"/>
    <w:multiLevelType w:val="hybridMultilevel"/>
    <w:tmpl w:val="D6889D34"/>
    <w:lvl w:ilvl="0" w:tplc="3DC873A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75C51BF"/>
    <w:multiLevelType w:val="hybridMultilevel"/>
    <w:tmpl w:val="45F4F69E"/>
    <w:lvl w:ilvl="0" w:tplc="04150017">
      <w:start w:val="1"/>
      <w:numFmt w:val="lowerLetter"/>
      <w:lvlText w:val="%1)"/>
      <w:lvlJc w:val="left"/>
      <w:pPr>
        <w:ind w:left="12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A8216-8177-4364-B62E-EF6B7088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uppressAutoHyphen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kern w:val="1"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Pr>
      <w:rFonts w:ascii="Calibri Light" w:eastAsia="Times New Roman" w:hAnsi="Calibri Light" w:cs="Times New Roman"/>
      <w:b/>
      <w:bCs/>
      <w:color w:val="2F5496"/>
      <w:kern w:val="1"/>
      <w:sz w:val="28"/>
      <w:szCs w:val="28"/>
      <w:lang w:val="x-none"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eastAsia="Times New Roman" w:hAnsi="Times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" w:eastAsia="Times New Roman" w:hAnsi="Times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eastAsia="Times New Roman" w:hAnsi="Times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" w:eastAsia="Times New Roman" w:hAnsi="Times" w:cs="Times New Roman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pPr>
      <w:suppressAutoHyphens/>
      <w:spacing w:after="200" w:line="276" w:lineRule="auto"/>
    </w:pPr>
    <w:rPr>
      <w:rFonts w:ascii="Tahoma" w:eastAsia="Times New Roman" w:hAnsi="Tahoma" w:cs="Tahoma"/>
      <w:kern w:val="1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kern w:val="1"/>
      <w:sz w:val="16"/>
      <w:szCs w:val="16"/>
      <w:lang w:val="x-none"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styleId="Bezodstpw">
    <w:name w:val="No Spacing"/>
    <w:uiPriority w:val="99"/>
    <w:qFormat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200" w:line="276" w:lineRule="auto"/>
    </w:pPr>
    <w:rPr>
      <w:rFonts w:ascii="Times" w:eastAsia="Times New Roman" w:hAnsi="Times" w:cs="Times New Roman"/>
      <w:sz w:val="24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val="x-none"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after="200" w:line="276" w:lineRule="auto"/>
    </w:pPr>
    <w:rPr>
      <w:rFonts w:ascii="Times" w:eastAsia="Times New Roman" w:hAnsi="Times" w:cs="Times New Roman"/>
      <w:sz w:val="24"/>
      <w:szCs w:val="24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" w:eastAsia="Times New Roman" w:hAnsi="Times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val="x-none" w:eastAsia="pl-PL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qFormat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spacing w:after="200" w:line="276" w:lineRule="auto"/>
    </w:pPr>
    <w:rPr>
      <w:rFonts w:ascii="Calibri" w:eastAsia="Times New Roman" w:hAnsi="Calibri" w:cs="Times New Roman"/>
      <w:b/>
      <w:i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uiPriority w:val="2"/>
    <w:qFormat/>
    <w:rPr>
      <w:rFonts w:cs="Times New Roman"/>
      <w:spacing w:val="0"/>
      <w:vertAlign w:val="superscript"/>
    </w:rPr>
  </w:style>
  <w:style w:type="character" w:customStyle="1" w:styleId="IDindeksdolny">
    <w:name w:val="_ID_ – indeks dolny"/>
    <w:uiPriority w:val="3"/>
    <w:qFormat/>
    <w:rPr>
      <w:rFonts w:cs="Times New Roman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Pr>
      <w:rFonts w:cs="Times New Roman"/>
      <w:b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Pr>
      <w:rFonts w:cs="Times New Roman"/>
      <w:i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Pr>
      <w:rFonts w:cs="Times New Roman"/>
      <w:b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Pr>
      <w:rFonts w:cs="Times New Roman"/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Pr>
      <w:rFonts w:cs="Times New Roman"/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Pr>
      <w:rFonts w:cs="Times New Roman"/>
      <w:b/>
      <w:i/>
      <w:spacing w:val="0"/>
      <w:vertAlign w:val="subscript"/>
    </w:rPr>
  </w:style>
  <w:style w:type="character" w:customStyle="1" w:styleId="Ppogrubienie">
    <w:name w:val="_P_ – pogrubienie"/>
    <w:uiPriority w:val="1"/>
    <w:qFormat/>
    <w:rPr>
      <w:rFonts w:cs="Times New Roman"/>
      <w:b/>
    </w:rPr>
  </w:style>
  <w:style w:type="character" w:customStyle="1" w:styleId="Kkursywa">
    <w:name w:val="_K_ – kursywa"/>
    <w:uiPriority w:val="1"/>
    <w:qFormat/>
    <w:rPr>
      <w:rFonts w:cs="Times New Roman"/>
      <w:i/>
    </w:rPr>
  </w:style>
  <w:style w:type="character" w:customStyle="1" w:styleId="PKpogrubieniekursywa">
    <w:name w:val="_P_K_ – pogrubienie kursywa"/>
    <w:uiPriority w:val="1"/>
    <w:qFormat/>
    <w:rPr>
      <w:rFonts w:cs="Times New Roman"/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Pr>
      <w:rFonts w:cs="Times New Roman"/>
      <w:color w:val="FF0000"/>
      <w:u w:val="single" w:color="FF0000"/>
    </w:rPr>
  </w:style>
  <w:style w:type="character" w:customStyle="1" w:styleId="BEZWERSALIKW">
    <w:name w:val="_BEZ_WERSALIKÓW_"/>
    <w:uiPriority w:val="4"/>
    <w:qFormat/>
    <w:rPr>
      <w:rFonts w:cs="Times New Roman"/>
      <w:caps/>
    </w:rPr>
  </w:style>
  <w:style w:type="character" w:customStyle="1" w:styleId="IIGPindeksgrnyindeksugrnegoipogrubienie">
    <w:name w:val="_IIG_P_ – indeks górny indeksu górnego i pogrubienie"/>
    <w:uiPriority w:val="3"/>
    <w:qFormat/>
    <w:rPr>
      <w:rFonts w:cs="Times New Roman"/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rFonts w:cs="Times New Roman"/>
      <w:b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spacing w:after="200" w:line="240" w:lineRule="auto"/>
      <w:ind w:left="283" w:hanging="170"/>
    </w:pPr>
    <w:rPr>
      <w:rFonts w:ascii="Calibri" w:eastAsia="Times New Roman" w:hAnsi="Calibri" w:cs="Times New Roman"/>
      <w:sz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spacing w:after="200" w:line="276" w:lineRule="auto"/>
      <w:ind w:firstLine="510"/>
    </w:pPr>
    <w:rPr>
      <w:rFonts w:ascii="Times" w:eastAsia="Times New Roman" w:hAnsi="Times" w:cs="Times New Roman"/>
      <w:bCs/>
      <w:kern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spacing w:after="200" w:line="276" w:lineRule="auto"/>
      <w:jc w:val="center"/>
    </w:pPr>
    <w:rPr>
      <w:rFonts w:ascii="Times" w:eastAsia="Times New Roman" w:hAnsi="Times" w:cs="Times New Roman"/>
      <w:bCs/>
      <w:kern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uiPriority w:val="59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Pr>
      <w:rFonts w:cs="Times New Roman"/>
      <w:color w:val="80808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 w:line="276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pPr>
      <w:spacing w:before="120" w:line="240" w:lineRule="auto"/>
      <w:ind w:firstLine="210"/>
      <w:jc w:val="both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Pr>
      <w:i/>
    </w:rPr>
  </w:style>
  <w:style w:type="character" w:styleId="Hipercze">
    <w:name w:val="Hyperlink"/>
    <w:uiPriority w:val="99"/>
    <w:semiHidden/>
    <w:unhideWhenUsed/>
    <w:rPr>
      <w:rFonts w:cs="Times New Roman"/>
      <w:color w:val="0563C1"/>
      <w:u w:val="single"/>
    </w:rPr>
  </w:style>
  <w:style w:type="character" w:styleId="UyteHipercze">
    <w:name w:val="FollowedHyperlink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lang w:eastAsia="pl-PL"/>
    </w:rPr>
  </w:style>
  <w:style w:type="paragraph" w:customStyle="1" w:styleId="xl67">
    <w:name w:val="xl67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hUwtext">
    <w:name w:val="ChUw text"/>
    <w:basedOn w:val="Normalny"/>
    <w:link w:val="ChUwtextZnak"/>
    <w:qFormat/>
    <w:pPr>
      <w:widowControl w:val="0"/>
      <w:autoSpaceDE w:val="0"/>
      <w:autoSpaceDN w:val="0"/>
      <w:adjustRightInd w:val="0"/>
      <w:spacing w:before="12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ChUwtextZnak">
    <w:name w:val="ChUw text Znak"/>
    <w:link w:val="ChUwtext"/>
    <w:locked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h2">
    <w:name w:val="h2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TML-staaszeroko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2489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Matczak</dc:creator>
  <cp:keywords/>
  <dc:description/>
  <cp:lastModifiedBy>Magdalena Matczak</cp:lastModifiedBy>
  <cp:revision>1</cp:revision>
  <dcterms:created xsi:type="dcterms:W3CDTF">2019-05-29T03:49:00Z</dcterms:created>
  <dcterms:modified xsi:type="dcterms:W3CDTF">2019-05-29T03:53:00Z</dcterms:modified>
</cp:coreProperties>
</file>